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33D06" w14:textId="77777777" w:rsidR="00B51109" w:rsidRDefault="009805FC" w:rsidP="009805FC">
      <w:r>
        <w:t>ADVANCED ALPHA ADVISERS, LLC</w:t>
      </w:r>
      <w:r w:rsidR="00B51109">
        <w:t xml:space="preserve">- </w:t>
      </w:r>
    </w:p>
    <w:p w14:paraId="37C2511B" w14:textId="77777777" w:rsidR="009805FC" w:rsidRDefault="009805FC" w:rsidP="009805FC">
      <w:pPr>
        <w:pStyle w:val="NoSpacing"/>
      </w:pPr>
      <w:r>
        <w:t>(Informational – Not Investment Advice)</w:t>
      </w:r>
    </w:p>
    <w:p w14:paraId="632D72CB" w14:textId="77777777" w:rsidR="009805FC" w:rsidRDefault="009805FC" w:rsidP="009805FC">
      <w:pPr>
        <w:pStyle w:val="NoSpacing"/>
      </w:pPr>
    </w:p>
    <w:p w14:paraId="6869DF42" w14:textId="77777777" w:rsidR="00361995" w:rsidRDefault="00361995" w:rsidP="00361995">
      <w:pPr>
        <w:pStyle w:val="NoSpacing"/>
      </w:pPr>
      <w:r w:rsidRPr="00361995">
        <w:t xml:space="preserve">The Role of Managed Futures in Portfolio Construction: </w:t>
      </w:r>
    </w:p>
    <w:p w14:paraId="664EE415" w14:textId="597B4098" w:rsidR="00361995" w:rsidRPr="00361995" w:rsidRDefault="00361995" w:rsidP="00361995">
      <w:pPr>
        <w:pStyle w:val="NoSpacing"/>
      </w:pPr>
      <w:r w:rsidRPr="00361995">
        <w:t>A Historical Correlation Study</w:t>
      </w:r>
    </w:p>
    <w:p w14:paraId="61E3A9AB" w14:textId="0F1A41A9" w:rsidR="009805FC" w:rsidRDefault="009805FC" w:rsidP="009805FC">
      <w:pPr>
        <w:pStyle w:val="NoSpacing"/>
      </w:pPr>
      <w:r>
        <w:t xml:space="preserve">Date: </w:t>
      </w:r>
      <w:r w:rsidR="00B1234A" w:rsidRPr="00B1234A">
        <w:t>July 1</w:t>
      </w:r>
      <w:r w:rsidR="00000694">
        <w:t>9</w:t>
      </w:r>
      <w:r w:rsidR="00B1234A" w:rsidRPr="00B1234A">
        <w:t>, 2026.</w:t>
      </w:r>
    </w:p>
    <w:p w14:paraId="75F0F3F0" w14:textId="29428438" w:rsidR="009805FC" w:rsidRDefault="009805FC" w:rsidP="009805FC">
      <w:pPr>
        <w:pStyle w:val="NoSpacing"/>
      </w:pPr>
      <w:r>
        <w:t xml:space="preserve">Author: George </w:t>
      </w:r>
      <w:r w:rsidR="00B51109">
        <w:t>Criezis</w:t>
      </w:r>
      <w:r>
        <w:t>, Research Associate</w:t>
      </w:r>
    </w:p>
    <w:p w14:paraId="0716DD32" w14:textId="77777777" w:rsidR="0071617B" w:rsidRDefault="0071617B" w:rsidP="009805FC">
      <w:pPr>
        <w:pStyle w:val="NoSpacing"/>
      </w:pPr>
    </w:p>
    <w:p w14:paraId="45483DFA" w14:textId="682A7CEF" w:rsidR="0071617B" w:rsidRDefault="0071617B" w:rsidP="009805FC">
      <w:pPr>
        <w:pStyle w:val="NoSpacing"/>
        <w:rPr>
          <w:b/>
          <w:bCs/>
        </w:rPr>
      </w:pPr>
      <w:r>
        <w:rPr>
          <w:b/>
          <w:bCs/>
        </w:rPr>
        <w:t>Executive Summary</w:t>
      </w:r>
    </w:p>
    <w:p w14:paraId="1E1EEC4B" w14:textId="77777777" w:rsidR="0071617B" w:rsidRDefault="0071617B" w:rsidP="009805FC">
      <w:pPr>
        <w:pStyle w:val="NoSpacing"/>
        <w:rPr>
          <w:b/>
          <w:bCs/>
        </w:rPr>
      </w:pPr>
    </w:p>
    <w:p w14:paraId="60EBBE6F" w14:textId="74CBDD68" w:rsidR="0071617B" w:rsidRPr="0071617B" w:rsidRDefault="0071617B" w:rsidP="009805FC">
      <w:pPr>
        <w:pStyle w:val="NoSpacing"/>
      </w:pPr>
      <w:r>
        <w:t xml:space="preserve">This study examines the correlation behavior of managed futures relative to other assets across five historic volatility regimes between 2020 and 2025. Correlation shifts across these regimes fall into two distinct patterns: structural repricing regimes, which are macro-driven and persist for months, and liquidity-driven </w:t>
      </w:r>
      <w:r w:rsidRPr="0071617B">
        <w:t>deleveraging spikes, which are technical, short-lived, and typically mean-reverting.</w:t>
      </w:r>
      <w:r>
        <w:t xml:space="preserve"> Across both regime types, the managed futures indices referenced in this study </w:t>
      </w:r>
      <w:r w:rsidRPr="0071617B">
        <w:t>maintained a low-to-negative correlation to traditional stock and bond portfolios, a function of the asset class’s ability to take long and short positions across equities, fixed income, currencies, and commodities.</w:t>
      </w:r>
      <w:r>
        <w:t xml:space="preserve"> Allocators evaluating diversification benefits may find this distinction useful, particularly during the periods when the traditional negative correlation between stocks and bonds </w:t>
      </w:r>
      <w:r w:rsidR="008F2711">
        <w:t>breaks</w:t>
      </w:r>
      <w:r>
        <w:t xml:space="preserve"> down.</w:t>
      </w:r>
    </w:p>
    <w:p w14:paraId="6683EBA0" w14:textId="77777777" w:rsidR="00961690" w:rsidRDefault="00961690" w:rsidP="009805FC"/>
    <w:p w14:paraId="2A410E00" w14:textId="76D6CFAD" w:rsidR="00961690" w:rsidRPr="008B6FDC" w:rsidRDefault="008B6FDC" w:rsidP="009805FC">
      <w:pPr>
        <w:rPr>
          <w:b/>
          <w:bCs/>
        </w:rPr>
      </w:pPr>
      <w:r w:rsidRPr="008B6FDC">
        <w:rPr>
          <w:b/>
          <w:bCs/>
        </w:rPr>
        <w:t>2020 COVID-19 Crisis</w:t>
      </w:r>
    </w:p>
    <w:p w14:paraId="6491B510" w14:textId="57C3FEE9" w:rsidR="00A76B29" w:rsidRPr="00C36A4A" w:rsidRDefault="00EA1E23" w:rsidP="009805FC">
      <w:pPr>
        <w:pStyle w:val="NoSpacing"/>
        <w:rPr>
          <w:b/>
          <w:bCs/>
        </w:rPr>
      </w:pPr>
      <w:r w:rsidRPr="00EA1E23">
        <w:rPr>
          <w:b/>
          <w:bCs/>
        </w:rPr>
        <w:t>Overview</w:t>
      </w:r>
    </w:p>
    <w:p w14:paraId="01680537" w14:textId="77777777" w:rsidR="00C36A4A" w:rsidRDefault="00C36A4A" w:rsidP="009805FC">
      <w:pPr>
        <w:pStyle w:val="NoSpacing"/>
      </w:pPr>
    </w:p>
    <w:p w14:paraId="12972AB4" w14:textId="6872B4A5" w:rsidR="001F47D4" w:rsidRDefault="008920F0" w:rsidP="009805FC">
      <w:pPr>
        <w:pStyle w:val="NoSpacing"/>
      </w:pPr>
      <w:r>
        <w:t xml:space="preserve">A </w:t>
      </w:r>
      <w:r w:rsidR="001F47D4">
        <w:t xml:space="preserve">global </w:t>
      </w:r>
      <w:r>
        <w:t xml:space="preserve">COVID-19 </w:t>
      </w:r>
      <w:r w:rsidR="001F47D4">
        <w:t xml:space="preserve">shutdown </w:t>
      </w:r>
      <w:r>
        <w:t>prompted g</w:t>
      </w:r>
      <w:r w:rsidR="001859AB">
        <w:t>overnments</w:t>
      </w:r>
      <w:r w:rsidR="001F47D4">
        <w:t xml:space="preserve"> worldwide </w:t>
      </w:r>
      <w:r>
        <w:t xml:space="preserve">to </w:t>
      </w:r>
      <w:r w:rsidR="001F47D4">
        <w:t>implement</w:t>
      </w:r>
      <w:r w:rsidR="00824865">
        <w:t xml:space="preserve"> unprecedented measures to control the virus and support affected populations</w:t>
      </w:r>
      <w:r>
        <w:t>; major</w:t>
      </w:r>
      <w:r w:rsidR="001F47D4">
        <w:t xml:space="preserve"> U.S. indices reached all-time </w:t>
      </w:r>
      <w:r w:rsidR="001859AB">
        <w:t>highs</w:t>
      </w:r>
      <w:r w:rsidR="001F47D4">
        <w:t xml:space="preserve"> on February 19, </w:t>
      </w:r>
      <w:r w:rsidR="00A76B29">
        <w:t>2020,</w:t>
      </w:r>
      <w:r w:rsidR="001F47D4">
        <w:t xml:space="preserve"> before beginning a fastest descent into a bear market in financial history</w:t>
      </w:r>
      <w:r>
        <w:t>.</w:t>
      </w:r>
    </w:p>
    <w:p w14:paraId="36C3A436" w14:textId="77777777" w:rsidR="00306096" w:rsidRDefault="00306096" w:rsidP="009805FC">
      <w:pPr>
        <w:pStyle w:val="NoSpacing"/>
      </w:pPr>
    </w:p>
    <w:p w14:paraId="4470238A" w14:textId="2CC538B5" w:rsidR="00A76B29" w:rsidRDefault="008920F0" w:rsidP="009805FC">
      <w:pPr>
        <w:pStyle w:val="NoSpacing"/>
      </w:pPr>
      <w:r>
        <w:t>D</w:t>
      </w:r>
      <w:r w:rsidR="00A76B29">
        <w:t>aily life, public infrastructure, and international commerce forced fundamental reorganiz</w:t>
      </w:r>
      <w:r>
        <w:t>ation</w:t>
      </w:r>
      <w:r w:rsidR="00A76B29">
        <w:t xml:space="preserve"> during one of the deadliest biological events in recorded history.</w:t>
      </w:r>
    </w:p>
    <w:p w14:paraId="6ECA9D2B" w14:textId="77777777" w:rsidR="00C36A4A" w:rsidRDefault="00C36A4A" w:rsidP="009805FC">
      <w:pPr>
        <w:pStyle w:val="NoSpacing"/>
      </w:pPr>
    </w:p>
    <w:p w14:paraId="05163E35" w14:textId="77777777" w:rsidR="00ED5FC5" w:rsidRDefault="00ED5FC5" w:rsidP="009805FC">
      <w:pPr>
        <w:pStyle w:val="NoSpacing"/>
        <w:rPr>
          <w:b/>
          <w:bCs/>
        </w:rPr>
      </w:pPr>
    </w:p>
    <w:p w14:paraId="2DFDDC74" w14:textId="77777777" w:rsidR="00ED5FC5" w:rsidRDefault="00ED5FC5" w:rsidP="009805FC">
      <w:pPr>
        <w:pStyle w:val="NoSpacing"/>
        <w:rPr>
          <w:b/>
          <w:bCs/>
        </w:rPr>
      </w:pPr>
    </w:p>
    <w:p w14:paraId="19F344CB" w14:textId="77777777" w:rsidR="00ED5FC5" w:rsidRDefault="00ED5FC5" w:rsidP="009805FC">
      <w:pPr>
        <w:pStyle w:val="NoSpacing"/>
        <w:rPr>
          <w:b/>
          <w:bCs/>
        </w:rPr>
      </w:pPr>
    </w:p>
    <w:p w14:paraId="1953D7EE" w14:textId="77777777" w:rsidR="00ED5FC5" w:rsidRDefault="00ED5FC5" w:rsidP="009805FC">
      <w:pPr>
        <w:pStyle w:val="NoSpacing"/>
        <w:rPr>
          <w:b/>
          <w:bCs/>
        </w:rPr>
      </w:pPr>
    </w:p>
    <w:p w14:paraId="5A8427D7" w14:textId="77777777" w:rsidR="00ED5FC5" w:rsidRDefault="00ED5FC5" w:rsidP="009805FC">
      <w:pPr>
        <w:pStyle w:val="NoSpacing"/>
        <w:rPr>
          <w:b/>
          <w:bCs/>
        </w:rPr>
      </w:pPr>
    </w:p>
    <w:p w14:paraId="6B2D2D56" w14:textId="77777777" w:rsidR="00ED5FC5" w:rsidRDefault="00ED5FC5" w:rsidP="009805FC">
      <w:pPr>
        <w:pStyle w:val="NoSpacing"/>
        <w:rPr>
          <w:b/>
          <w:bCs/>
        </w:rPr>
      </w:pPr>
    </w:p>
    <w:p w14:paraId="41C3A0FF" w14:textId="1AF95B38" w:rsidR="00A76B29" w:rsidRPr="00C36A4A" w:rsidRDefault="00A76B29" w:rsidP="009805FC">
      <w:pPr>
        <w:pStyle w:val="NoSpacing"/>
        <w:rPr>
          <w:b/>
          <w:bCs/>
        </w:rPr>
      </w:pPr>
      <w:r w:rsidRPr="00367A21">
        <w:rPr>
          <w:b/>
          <w:bCs/>
        </w:rPr>
        <w:lastRenderedPageBreak/>
        <w:t>Volatility</w:t>
      </w:r>
    </w:p>
    <w:p w14:paraId="5C8D0E51" w14:textId="77777777" w:rsidR="00ED5FC5" w:rsidRDefault="00ED5FC5" w:rsidP="004C5930">
      <w:pPr>
        <w:pStyle w:val="NoSpacing"/>
      </w:pPr>
    </w:p>
    <w:p w14:paraId="21E3E535" w14:textId="3F312CB6" w:rsidR="004C5930" w:rsidRPr="008B11E4" w:rsidRDefault="001859AB" w:rsidP="004C5930">
      <w:pPr>
        <w:pStyle w:val="NoSpacing"/>
      </w:pPr>
      <w:r>
        <w:t xml:space="preserve">U.S. markets face one of the most volatile regimes in history, as the VIX </w:t>
      </w:r>
      <w:r w:rsidR="00306096">
        <w:t>closed at a high of 82.69</w:t>
      </w:r>
      <w:r>
        <w:t xml:space="preserve"> </w:t>
      </w:r>
      <w:r w:rsidR="008920F0">
        <w:t>(</w:t>
      </w:r>
      <w:r>
        <w:t>from pre-COVID levels of between 15-20</w:t>
      </w:r>
      <w:r w:rsidR="008920F0">
        <w:t>)</w:t>
      </w:r>
      <w:r w:rsidR="00F442D1">
        <w:rPr>
          <w:rStyle w:val="FootnoteReference"/>
        </w:rPr>
        <w:footnoteReference w:id="1"/>
      </w:r>
      <w:r w:rsidR="008920F0">
        <w:t xml:space="preserve">, then compressed </w:t>
      </w:r>
      <w:r w:rsidR="00A76B29">
        <w:t>below 50</w:t>
      </w:r>
      <w:r w:rsidR="008920F0">
        <w:t xml:space="preserve"> by year-end with the Fed’s March 23 stimulus and QE initiatives restoring confidence</w:t>
      </w:r>
      <w:r w:rsidR="00F442D1">
        <w:rPr>
          <w:rStyle w:val="FootnoteReference"/>
        </w:rPr>
        <w:footnoteReference w:id="2"/>
      </w:r>
      <w:r w:rsidR="008920F0">
        <w:t>.</w:t>
      </w:r>
    </w:p>
    <w:p w14:paraId="619F52E9" w14:textId="154583F6" w:rsidR="006F551A" w:rsidRDefault="006F551A" w:rsidP="009805FC">
      <w:pPr>
        <w:pStyle w:val="NoSpacing"/>
      </w:pPr>
    </w:p>
    <w:p w14:paraId="4CBAB8A6" w14:textId="677FF461" w:rsidR="00CC77D2" w:rsidRPr="008B11E4" w:rsidRDefault="009805FC" w:rsidP="009805FC">
      <w:pPr>
        <w:pStyle w:val="NoSpacing"/>
        <w:rPr>
          <w:b/>
          <w:bCs/>
        </w:rPr>
      </w:pPr>
      <w:r w:rsidRPr="00367A21">
        <w:rPr>
          <w:b/>
          <w:bCs/>
        </w:rPr>
        <w:t xml:space="preserve">Cross-asset </w:t>
      </w:r>
      <w:r w:rsidR="00F70EB0">
        <w:rPr>
          <w:b/>
          <w:bCs/>
        </w:rPr>
        <w:t>Impact</w:t>
      </w:r>
    </w:p>
    <w:p w14:paraId="4892F100" w14:textId="77777777" w:rsidR="00C36A4A" w:rsidRDefault="00C36A4A" w:rsidP="009805FC">
      <w:pPr>
        <w:pStyle w:val="NoSpacing"/>
        <w:rPr>
          <w:b/>
          <w:bCs/>
        </w:rPr>
      </w:pPr>
    </w:p>
    <w:p w14:paraId="789DF4BA" w14:textId="62AAABF0" w:rsidR="006E77B7" w:rsidRPr="00367A21" w:rsidRDefault="006E77B7" w:rsidP="009805FC">
      <w:pPr>
        <w:pStyle w:val="NoSpacing"/>
        <w:rPr>
          <w:b/>
          <w:bCs/>
        </w:rPr>
      </w:pPr>
      <w:r w:rsidRPr="00367A21">
        <w:rPr>
          <w:b/>
          <w:bCs/>
        </w:rPr>
        <w:t>Managed Futures:</w:t>
      </w:r>
    </w:p>
    <w:p w14:paraId="308E97B6" w14:textId="77777777" w:rsidR="00ED5FC5" w:rsidRDefault="00ED5FC5" w:rsidP="009805FC">
      <w:pPr>
        <w:pStyle w:val="NoSpacing"/>
      </w:pPr>
    </w:p>
    <w:p w14:paraId="6480148B" w14:textId="11742A7C" w:rsidR="006E77B7" w:rsidRDefault="00E87196" w:rsidP="009805FC">
      <w:pPr>
        <w:pStyle w:val="NoSpacing"/>
      </w:pPr>
      <w:r>
        <w:t xml:space="preserve">Initially, </w:t>
      </w:r>
      <w:r w:rsidR="00AC19BE">
        <w:t>the pandemic hit and market volatility surged. Managed futures saw mixed per</w:t>
      </w:r>
      <w:r w:rsidR="00B0093F">
        <w:t>formance</w:t>
      </w:r>
      <w:r w:rsidR="00E02A67">
        <w:t xml:space="preserve"> during unprecedented equity sell-offs</w:t>
      </w:r>
      <w:r w:rsidR="008920F0">
        <w:t xml:space="preserve">; strategies captured strong gains once </w:t>
      </w:r>
      <w:r w:rsidR="001C3380" w:rsidRPr="001C3380">
        <w:t>New directional trends</w:t>
      </w:r>
      <w:r w:rsidR="001C3380">
        <w:t xml:space="preserve"> b</w:t>
      </w:r>
      <w:r w:rsidR="001C3380" w:rsidRPr="001C3380">
        <w:t>ecame established.</w:t>
      </w:r>
    </w:p>
    <w:p w14:paraId="2BC740A6" w14:textId="05A20F12" w:rsidR="006E77B7" w:rsidRPr="00367A21" w:rsidRDefault="006E77B7" w:rsidP="009805FC">
      <w:pPr>
        <w:pStyle w:val="NoSpacing"/>
        <w:rPr>
          <w:b/>
          <w:bCs/>
        </w:rPr>
      </w:pPr>
      <w:r w:rsidRPr="00367A21">
        <w:rPr>
          <w:b/>
          <w:bCs/>
        </w:rPr>
        <w:t>Equities</w:t>
      </w:r>
      <w:r w:rsidR="00216892" w:rsidRPr="00367A21">
        <w:rPr>
          <w:b/>
          <w:bCs/>
        </w:rPr>
        <w:t>:</w:t>
      </w:r>
    </w:p>
    <w:p w14:paraId="7A670AD7" w14:textId="77777777" w:rsidR="00ED5FC5" w:rsidRDefault="00ED5FC5" w:rsidP="009805FC">
      <w:pPr>
        <w:pStyle w:val="NoSpacing"/>
      </w:pPr>
    </w:p>
    <w:p w14:paraId="46208825" w14:textId="695EF197" w:rsidR="006E77B7" w:rsidRDefault="001C3380" w:rsidP="009805FC">
      <w:pPr>
        <w:pStyle w:val="NoSpacing"/>
      </w:pPr>
      <w:r w:rsidRPr="001C3380">
        <w:t>Historic</w:t>
      </w:r>
      <w:r>
        <w:t xml:space="preserve">, </w:t>
      </w:r>
      <w:r w:rsidR="008B4315">
        <w:t>rapid sell-off</w:t>
      </w:r>
      <w:r>
        <w:t xml:space="preserve"> </w:t>
      </w:r>
      <w:r w:rsidRPr="001C3380">
        <w:t>into late March</w:t>
      </w:r>
      <w:r>
        <w:t xml:space="preserve"> </w:t>
      </w:r>
      <w:r w:rsidRPr="001C3380">
        <w:t>Until the Fed implemented</w:t>
      </w:r>
      <w:r>
        <w:t xml:space="preserve"> </w:t>
      </w:r>
      <w:r w:rsidR="00262D89">
        <w:t>quantitative easing measures</w:t>
      </w:r>
      <w:r w:rsidR="00F20DB5">
        <w:t xml:space="preserve"> </w:t>
      </w:r>
      <w:r>
        <w:t xml:space="preserve">to </w:t>
      </w:r>
      <w:r w:rsidR="00AE5392">
        <w:t>begin a historic bull run.</w:t>
      </w:r>
    </w:p>
    <w:p w14:paraId="7B24AC9D" w14:textId="0ACF1B7E" w:rsidR="00CC77D2" w:rsidRPr="001C3380" w:rsidRDefault="00CC77D2" w:rsidP="009805FC">
      <w:pPr>
        <w:pStyle w:val="NoSpacing"/>
        <w:rPr>
          <w:b/>
          <w:bCs/>
        </w:rPr>
      </w:pPr>
      <w:r w:rsidRPr="00367A21">
        <w:rPr>
          <w:b/>
          <w:bCs/>
        </w:rPr>
        <w:t>Rates:</w:t>
      </w:r>
    </w:p>
    <w:p w14:paraId="50C3610A" w14:textId="77777777" w:rsidR="00ED5FC5" w:rsidRDefault="00ED5FC5" w:rsidP="009805FC">
      <w:pPr>
        <w:pStyle w:val="NoSpacing"/>
      </w:pPr>
    </w:p>
    <w:p w14:paraId="6C36390C" w14:textId="5E17C3E7" w:rsidR="00CC77D2" w:rsidRDefault="00CC77D2" w:rsidP="009805FC">
      <w:pPr>
        <w:pStyle w:val="NoSpacing"/>
      </w:pPr>
      <w:r>
        <w:t>Following aggressive central bank intervention, bond yields plummeted to historic lows, pushing bond prices upwards.</w:t>
      </w:r>
      <w:r w:rsidR="001C3380">
        <w:t xml:space="preserve"> Investors began a cash-scramble.</w:t>
      </w:r>
    </w:p>
    <w:p w14:paraId="182D8A85" w14:textId="77777777" w:rsidR="00ED5FC5" w:rsidRDefault="00172468" w:rsidP="009805FC">
      <w:pPr>
        <w:pStyle w:val="NoSpacing"/>
      </w:pPr>
      <w:r>
        <w:rPr>
          <w:b/>
          <w:bCs/>
        </w:rPr>
        <w:t>FX</w:t>
      </w:r>
      <w:r w:rsidR="001C3380">
        <w:rPr>
          <w:b/>
          <w:bCs/>
        </w:rPr>
        <w:t xml:space="preserve"> &amp; Commodities</w:t>
      </w:r>
      <w:r w:rsidR="00CC77D2" w:rsidRPr="00367A21">
        <w:rPr>
          <w:b/>
          <w:bCs/>
        </w:rPr>
        <w:t>:</w:t>
      </w:r>
      <w:r w:rsidR="00CC77D2" w:rsidRPr="006E77B7">
        <w:br/>
      </w:r>
    </w:p>
    <w:p w14:paraId="50067730" w14:textId="726E9A97" w:rsidR="003E147F" w:rsidRPr="006E77B7" w:rsidRDefault="001C3380" w:rsidP="009805FC">
      <w:pPr>
        <w:pStyle w:val="NoSpacing"/>
      </w:pPr>
      <w:r>
        <w:t>The d</w:t>
      </w:r>
      <w:r w:rsidRPr="001C3380">
        <w:t>ollar we</w:t>
      </w:r>
      <w:r>
        <w:t>a</w:t>
      </w:r>
      <w:r w:rsidRPr="001C3380">
        <w:t>kened on</w:t>
      </w:r>
      <w:r>
        <w:t xml:space="preserve"> a</w:t>
      </w:r>
      <w:r w:rsidR="00F67BBD" w:rsidRPr="006E77B7">
        <w:t xml:space="preserve"> </w:t>
      </w:r>
      <w:r w:rsidR="00AD53F9" w:rsidRPr="006E77B7">
        <w:t>global</w:t>
      </w:r>
      <w:r w:rsidR="00F67BBD" w:rsidRPr="006E77B7">
        <w:t xml:space="preserve"> liquidity crunch</w:t>
      </w:r>
      <w:r>
        <w:t>, c</w:t>
      </w:r>
      <w:r w:rsidRPr="001C3380">
        <w:t>reat</w:t>
      </w:r>
      <w:r>
        <w:t xml:space="preserve">ing a </w:t>
      </w:r>
      <w:r w:rsidR="00AC363B" w:rsidRPr="006E77B7">
        <w:t>logistical bottleneck</w:t>
      </w:r>
      <w:r>
        <w:t>. O</w:t>
      </w:r>
      <w:r w:rsidR="00247207" w:rsidRPr="006E77B7">
        <w:t xml:space="preserve">nce the global shutdown was in effect, </w:t>
      </w:r>
      <w:r>
        <w:t>t</w:t>
      </w:r>
      <w:r w:rsidRPr="001C3380">
        <w:t xml:space="preserve">he </w:t>
      </w:r>
      <w:r w:rsidR="008B11E4">
        <w:t xml:space="preserve">safe-haven </w:t>
      </w:r>
      <w:r w:rsidRPr="001C3380">
        <w:t>dollar strengthened</w:t>
      </w:r>
      <w:r w:rsidR="008B11E4">
        <w:t>; oil</w:t>
      </w:r>
      <w:r w:rsidR="008B11E4" w:rsidRPr="008B11E4">
        <w:t xml:space="preserve"> prices collapse</w:t>
      </w:r>
      <w:r w:rsidR="008B11E4">
        <w:t>d</w:t>
      </w:r>
    </w:p>
    <w:p w14:paraId="790532BD" w14:textId="345F18E4" w:rsidR="006A45A1" w:rsidRPr="006E77B7" w:rsidRDefault="008B11E4" w:rsidP="009805FC">
      <w:pPr>
        <w:pStyle w:val="NoSpacing"/>
      </w:pPr>
      <w:r>
        <w:t xml:space="preserve">with a </w:t>
      </w:r>
      <w:r w:rsidR="009A40A6" w:rsidRPr="006E77B7">
        <w:t>breakdown in production negotiations between OPEC and Russia</w:t>
      </w:r>
      <w:r>
        <w:t>, d</w:t>
      </w:r>
      <w:r w:rsidRPr="008B11E4">
        <w:t>iminishing demand</w:t>
      </w:r>
      <w:r>
        <w:t>.</w:t>
      </w:r>
    </w:p>
    <w:p w14:paraId="7BC60EAB" w14:textId="40234FEA" w:rsidR="002065F1" w:rsidRDefault="002065F1" w:rsidP="009805FC">
      <w:pPr>
        <w:pStyle w:val="NoSpacing"/>
      </w:pPr>
    </w:p>
    <w:p w14:paraId="67377DFF" w14:textId="4D5F78D0" w:rsidR="009805FC" w:rsidRPr="00C36A4A" w:rsidRDefault="009805FC" w:rsidP="009805FC">
      <w:pPr>
        <w:pStyle w:val="NoSpacing"/>
        <w:rPr>
          <w:b/>
          <w:bCs/>
        </w:rPr>
      </w:pPr>
      <w:r w:rsidRPr="00367A21">
        <w:rPr>
          <w:b/>
          <w:bCs/>
        </w:rPr>
        <w:t>Market Structure Observations</w:t>
      </w:r>
    </w:p>
    <w:p w14:paraId="1E348DF3" w14:textId="77777777" w:rsidR="00C36A4A" w:rsidRDefault="00C36A4A" w:rsidP="009805FC">
      <w:pPr>
        <w:pStyle w:val="NoSpacing"/>
      </w:pPr>
    </w:p>
    <w:p w14:paraId="4EA04224" w14:textId="48346C89" w:rsidR="00581536" w:rsidRDefault="008B11E4" w:rsidP="009805FC">
      <w:pPr>
        <w:pStyle w:val="NoSpacing"/>
      </w:pPr>
      <w:r>
        <w:t>L</w:t>
      </w:r>
      <w:r w:rsidR="00581536" w:rsidRPr="00581536">
        <w:t>iquidity conditions tighten</w:t>
      </w:r>
      <w:r>
        <w:t xml:space="preserve">ed, </w:t>
      </w:r>
      <w:r w:rsidR="00B650A7" w:rsidRPr="00B650A7">
        <w:t>bid</w:t>
      </w:r>
      <w:r w:rsidR="00B650A7">
        <w:t>-</w:t>
      </w:r>
      <w:r w:rsidR="00B650A7" w:rsidRPr="00B650A7">
        <w:t xml:space="preserve">ask </w:t>
      </w:r>
      <w:r w:rsidR="00EA1E23">
        <w:t>spread</w:t>
      </w:r>
      <w:r w:rsidR="00B650A7" w:rsidRPr="00B650A7">
        <w:t xml:space="preserve"> widen</w:t>
      </w:r>
      <w:r>
        <w:t>ed and m</w:t>
      </w:r>
      <w:r w:rsidR="0034287B" w:rsidRPr="0034287B">
        <w:t xml:space="preserve">arket depth </w:t>
      </w:r>
      <w:r w:rsidR="00673717" w:rsidRPr="0034287B">
        <w:t>evaporated,</w:t>
      </w:r>
      <w:r w:rsidR="0034287B" w:rsidRPr="0034287B">
        <w:t xml:space="preserve"> which allowed greater </w:t>
      </w:r>
      <w:r w:rsidR="00CC53FC" w:rsidRPr="0034287B">
        <w:t>impact</w:t>
      </w:r>
      <w:r>
        <w:t xml:space="preserve"> </w:t>
      </w:r>
      <w:r w:rsidR="0034287B" w:rsidRPr="0034287B">
        <w:t xml:space="preserve">on </w:t>
      </w:r>
      <w:r>
        <w:t>smaller orders</w:t>
      </w:r>
      <w:r w:rsidR="00673717">
        <w:t>.</w:t>
      </w:r>
      <w:r w:rsidR="00673717" w:rsidRPr="00673717">
        <w:t xml:space="preserve"> </w:t>
      </w:r>
    </w:p>
    <w:p w14:paraId="4E02D3F0" w14:textId="77777777" w:rsidR="00673717" w:rsidRDefault="00673717" w:rsidP="009805FC">
      <w:pPr>
        <w:pStyle w:val="NoSpacing"/>
      </w:pPr>
    </w:p>
    <w:p w14:paraId="013E0EA5" w14:textId="2B6DB9B5" w:rsidR="00673717" w:rsidRDefault="004C32EF" w:rsidP="009805FC">
      <w:pPr>
        <w:pStyle w:val="NoSpacing"/>
      </w:pPr>
      <w:r w:rsidRPr="004C32EF">
        <w:t>The abrupt nature of the pandemic allowed for correlation changes such as the breakdown of traditional diversification benefits between cross assets</w:t>
      </w:r>
      <w:r>
        <w:t>.</w:t>
      </w:r>
      <w:r w:rsidR="0065103D">
        <w:t xml:space="preserve"> </w:t>
      </w:r>
      <w:r w:rsidR="00B90C0F" w:rsidRPr="00B90C0F">
        <w:t xml:space="preserve">For </w:t>
      </w:r>
      <w:r w:rsidR="00DB693D" w:rsidRPr="00B90C0F">
        <w:t>instance,</w:t>
      </w:r>
      <w:r w:rsidR="00B90C0F" w:rsidRPr="00B90C0F">
        <w:t xml:space="preserve"> typical negative correlations between stocks and bonds evaporated</w:t>
      </w:r>
      <w:r w:rsidR="00B90C0F">
        <w:t>.</w:t>
      </w:r>
    </w:p>
    <w:p w14:paraId="22796696" w14:textId="77777777" w:rsidR="00B90C0F" w:rsidRDefault="00B90C0F" w:rsidP="009805FC">
      <w:pPr>
        <w:pStyle w:val="NoSpacing"/>
      </w:pPr>
    </w:p>
    <w:p w14:paraId="3C673DFF" w14:textId="159609F7" w:rsidR="00B303EF" w:rsidRDefault="00B90C0F" w:rsidP="00B303EF">
      <w:pPr>
        <w:pStyle w:val="NoSpacing"/>
      </w:pPr>
      <w:r w:rsidRPr="00B90C0F">
        <w:t>Even typical safe</w:t>
      </w:r>
      <w:r w:rsidR="00DB693D">
        <w:t>-</w:t>
      </w:r>
      <w:r w:rsidRPr="00B90C0F">
        <w:t>haven</w:t>
      </w:r>
      <w:r w:rsidR="00EF4C83" w:rsidRPr="00EF4C83">
        <w:t xml:space="preserve"> </w:t>
      </w:r>
      <w:r w:rsidR="00DB693D">
        <w:t>investments</w:t>
      </w:r>
      <w:r w:rsidR="00EF4C83" w:rsidRPr="00EF4C83">
        <w:t xml:space="preserve"> like gold experienced sell offs and liquidations in the beginning of the crisis</w:t>
      </w:r>
      <w:r w:rsidR="00EF4C83">
        <w:t>.</w:t>
      </w:r>
    </w:p>
    <w:p w14:paraId="3591B81E" w14:textId="77777777" w:rsidR="00B303EF" w:rsidRDefault="00B303EF" w:rsidP="00B303EF">
      <w:pPr>
        <w:pStyle w:val="NoSpacing"/>
      </w:pPr>
    </w:p>
    <w:p w14:paraId="08EF1E62" w14:textId="77777777" w:rsidR="00C36A4A" w:rsidRDefault="009F781B" w:rsidP="003441EE">
      <w:pPr>
        <w:rPr>
          <w:b/>
          <w:bCs/>
        </w:rPr>
      </w:pPr>
      <w:r w:rsidRPr="009F781B">
        <w:rPr>
          <w:b/>
          <w:bCs/>
        </w:rPr>
        <w:t>2022 Rate Shock</w:t>
      </w:r>
    </w:p>
    <w:p w14:paraId="1CF97E91" w14:textId="15171DA1" w:rsidR="003441EE" w:rsidRDefault="00EA1E23" w:rsidP="003441EE">
      <w:pPr>
        <w:rPr>
          <w:b/>
          <w:bCs/>
        </w:rPr>
      </w:pPr>
      <w:r w:rsidRPr="00EA1E23">
        <w:rPr>
          <w:b/>
          <w:bCs/>
        </w:rPr>
        <w:t>Overview</w:t>
      </w:r>
    </w:p>
    <w:p w14:paraId="57A2959B" w14:textId="18CD24EA" w:rsidR="00664CBC" w:rsidRPr="00516D24" w:rsidRDefault="00EA1E23" w:rsidP="003441EE">
      <w:r>
        <w:t>S</w:t>
      </w:r>
      <w:r w:rsidR="00E4566D" w:rsidRPr="00E4566D">
        <w:t>timulus</w:t>
      </w:r>
      <w:r>
        <w:t>-driven</w:t>
      </w:r>
      <w:r w:rsidR="00031D19">
        <w:t xml:space="preserve"> hit inflation</w:t>
      </w:r>
      <w:r w:rsidR="00031D19" w:rsidRPr="00A8289A">
        <w:t xml:space="preserve"> to a 40 year high of 9.1%</w:t>
      </w:r>
      <w:r w:rsidR="00F442D1">
        <w:rPr>
          <w:rStyle w:val="FootnoteReference"/>
        </w:rPr>
        <w:footnoteReference w:id="3"/>
      </w:r>
      <w:r w:rsidR="00031D19">
        <w:t xml:space="preserve"> </w:t>
      </w:r>
      <w:r w:rsidR="00B83F36" w:rsidRPr="00B83F36">
        <w:t>prompt</w:t>
      </w:r>
      <w:r w:rsidR="00031D19">
        <w:t xml:space="preserve">ing </w:t>
      </w:r>
      <w:r w:rsidR="00B83F36" w:rsidRPr="00B83F36">
        <w:t>extensive rate hikes in early 2022</w:t>
      </w:r>
      <w:r w:rsidR="00031D19">
        <w:t xml:space="preserve">, </w:t>
      </w:r>
      <w:r w:rsidR="00031D19" w:rsidRPr="00293E0F">
        <w:t>often in increments of 50 or 75</w:t>
      </w:r>
      <w:r w:rsidR="00031D19">
        <w:t>bps st</w:t>
      </w:r>
      <w:r w:rsidR="00031D19" w:rsidRPr="00031D19">
        <w:t>art</w:t>
      </w:r>
      <w:r w:rsidR="00031D19">
        <w:t xml:space="preserve">ing </w:t>
      </w:r>
      <w:r w:rsidR="00031D19" w:rsidRPr="00031D19">
        <w:t>in March</w:t>
      </w:r>
      <w:r w:rsidR="00031D19">
        <w:t xml:space="preserve">, allowing a </w:t>
      </w:r>
      <w:r w:rsidR="00955BF7" w:rsidRPr="00955BF7">
        <w:t xml:space="preserve">structural reset </w:t>
      </w:r>
      <w:r w:rsidR="00031D19" w:rsidRPr="00955BF7">
        <w:t>alteri</w:t>
      </w:r>
      <w:r w:rsidR="00031D19">
        <w:t>ng</w:t>
      </w:r>
      <w:r w:rsidR="00955BF7" w:rsidRPr="00955BF7">
        <w:t xml:space="preserve"> asset correlations market regimes</w:t>
      </w:r>
      <w:r w:rsidR="00955BF7">
        <w:t>.</w:t>
      </w:r>
    </w:p>
    <w:p w14:paraId="3AD46809" w14:textId="08DC8F11" w:rsidR="0002610C" w:rsidRPr="0002610C" w:rsidRDefault="00031D19" w:rsidP="003441EE">
      <w:r>
        <w:t>I</w:t>
      </w:r>
      <w:r w:rsidR="00366B50" w:rsidRPr="00366B50">
        <w:t>nvestors</w:t>
      </w:r>
      <w:r w:rsidR="00763501" w:rsidRPr="00763501">
        <w:t xml:space="preserve"> </w:t>
      </w:r>
      <w:r>
        <w:t>r</w:t>
      </w:r>
      <w:r w:rsidR="00763501" w:rsidRPr="00763501">
        <w:t>eevaluate</w:t>
      </w:r>
      <w:r>
        <w:t>d</w:t>
      </w:r>
      <w:r w:rsidR="00763501" w:rsidRPr="00763501">
        <w:t xml:space="preserve"> risk</w:t>
      </w:r>
      <w:r w:rsidR="00BB40D1" w:rsidRPr="00BB40D1">
        <w:t xml:space="preserve"> and valuation across every major asset class</w:t>
      </w:r>
      <w:r w:rsidR="00BB40D1">
        <w:t xml:space="preserve">. </w:t>
      </w:r>
      <w:r w:rsidR="00BB40D1" w:rsidRPr="00BB40D1">
        <w:t>Future earnings and bond safety we're in doubt</w:t>
      </w:r>
      <w:r>
        <w:t>, pushing</w:t>
      </w:r>
      <w:r w:rsidRPr="00031D19">
        <w:t xml:space="preserve"> major indices into bear market territory.</w:t>
      </w:r>
    </w:p>
    <w:p w14:paraId="3977149E" w14:textId="32D877B7" w:rsidR="003441EE" w:rsidRPr="003441EE" w:rsidRDefault="003441EE" w:rsidP="003441EE">
      <w:pPr>
        <w:rPr>
          <w:b/>
          <w:bCs/>
        </w:rPr>
      </w:pPr>
      <w:r w:rsidRPr="003441EE">
        <w:rPr>
          <w:b/>
          <w:bCs/>
        </w:rPr>
        <w:t>Volatility</w:t>
      </w:r>
    </w:p>
    <w:p w14:paraId="3E14B9C4" w14:textId="56E3A278" w:rsidR="003135AC" w:rsidRDefault="00844C12" w:rsidP="003441EE">
      <w:r>
        <w:t>VIX s</w:t>
      </w:r>
      <w:r w:rsidRPr="00844C12">
        <w:t>pikes were the norm</w:t>
      </w:r>
      <w:r>
        <w:t xml:space="preserve"> d</w:t>
      </w:r>
      <w:r w:rsidR="00B17986" w:rsidRPr="00B17986">
        <w:t>uring FO</w:t>
      </w:r>
      <w:r w:rsidR="00B17986">
        <w:t>M</w:t>
      </w:r>
      <w:r w:rsidR="00B17986" w:rsidRPr="00B17986">
        <w:t xml:space="preserve">C </w:t>
      </w:r>
      <w:r w:rsidRPr="00B17986">
        <w:t>meetings</w:t>
      </w:r>
      <w:r>
        <w:t xml:space="preserve"> but</w:t>
      </w:r>
      <w:r w:rsidRPr="00844C12">
        <w:t xml:space="preserve"> were stable</w:t>
      </w:r>
      <w:r>
        <w:t xml:space="preserve"> i</w:t>
      </w:r>
      <w:r w:rsidRPr="00844C12">
        <w:t>n the high</w:t>
      </w:r>
      <w:r>
        <w:t>-</w:t>
      </w:r>
      <w:r w:rsidRPr="00844C12">
        <w:t>20s to mid-30s for most of the year</w:t>
      </w:r>
      <w:r w:rsidR="00F442D1">
        <w:rPr>
          <w:rStyle w:val="FootnoteReference"/>
        </w:rPr>
        <w:footnoteReference w:id="4"/>
      </w:r>
      <w:r w:rsidRPr="00844C12">
        <w:t>.</w:t>
      </w:r>
      <w:r w:rsidR="0057309D">
        <w:t xml:space="preserve"> </w:t>
      </w:r>
    </w:p>
    <w:p w14:paraId="6251E948" w14:textId="01D0194E" w:rsidR="00187EB8" w:rsidRDefault="00844C12" w:rsidP="003441EE">
      <w:r w:rsidRPr="00B4169A">
        <w:t>Long-term</w:t>
      </w:r>
      <w:r w:rsidR="00B4169A" w:rsidRPr="00B4169A">
        <w:t xml:space="preserve"> changes reflect more sustained periods of market uncertainty</w:t>
      </w:r>
      <w:r>
        <w:t>; A</w:t>
      </w:r>
      <w:r w:rsidR="003757DD" w:rsidRPr="003757DD">
        <w:t xml:space="preserve"> transition from a</w:t>
      </w:r>
      <w:r w:rsidR="00187EB8" w:rsidRPr="00187EB8">
        <w:t xml:space="preserve"> low-interest rate regime to a period of high sustained rates can reflect elevated volatility levels for an extended amount of time</w:t>
      </w:r>
      <w:r w:rsidR="004871B2">
        <w:t>.</w:t>
      </w:r>
    </w:p>
    <w:p w14:paraId="4E58A962" w14:textId="7A710BDC" w:rsidR="00C36A4A" w:rsidRDefault="003441EE" w:rsidP="003441EE">
      <w:pPr>
        <w:rPr>
          <w:b/>
          <w:bCs/>
        </w:rPr>
      </w:pPr>
      <w:r w:rsidRPr="003441EE">
        <w:rPr>
          <w:b/>
          <w:bCs/>
        </w:rPr>
        <w:t xml:space="preserve">Cross-Asset </w:t>
      </w:r>
      <w:r w:rsidR="00F70EB0">
        <w:rPr>
          <w:b/>
          <w:bCs/>
        </w:rPr>
        <w:t>Impact</w:t>
      </w:r>
    </w:p>
    <w:p w14:paraId="31365E0B" w14:textId="75E0DBAE" w:rsidR="000B6CC3" w:rsidRDefault="000B6CC3" w:rsidP="003441EE">
      <w:pPr>
        <w:rPr>
          <w:b/>
          <w:bCs/>
        </w:rPr>
      </w:pPr>
      <w:r w:rsidRPr="00367A21">
        <w:rPr>
          <w:b/>
          <w:bCs/>
        </w:rPr>
        <w:t>Managed Futures</w:t>
      </w:r>
      <w:r>
        <w:rPr>
          <w:b/>
          <w:bCs/>
        </w:rPr>
        <w:t>:</w:t>
      </w:r>
    </w:p>
    <w:p w14:paraId="572E4F6B" w14:textId="088A0FD8" w:rsidR="001B2845" w:rsidRPr="001B2845" w:rsidRDefault="001B2845" w:rsidP="003441EE">
      <w:r w:rsidRPr="001B2845">
        <w:t>Trend-following</w:t>
      </w:r>
      <w:r>
        <w:t xml:space="preserve"> strategies benefitted from well-established directional moves (specifically short fixed-income and long-dollar stances) preserving a low-to-negative correlation as stocks and bonds converged in negative territory.</w:t>
      </w:r>
    </w:p>
    <w:p w14:paraId="4E467D24" w14:textId="0CEC7140" w:rsidR="004871B2" w:rsidRPr="004871B2" w:rsidRDefault="003441EE" w:rsidP="003441EE">
      <w:r w:rsidRPr="003441EE">
        <w:rPr>
          <w:b/>
          <w:bCs/>
        </w:rPr>
        <w:t xml:space="preserve">Equities: </w:t>
      </w:r>
    </w:p>
    <w:p w14:paraId="286F74E1" w14:textId="13871DBC" w:rsidR="00F442D1" w:rsidRDefault="004871B2" w:rsidP="003441EE">
      <w:pPr>
        <w:rPr>
          <w:b/>
          <w:bCs/>
        </w:rPr>
      </w:pPr>
      <w:r>
        <w:t>V</w:t>
      </w:r>
      <w:r w:rsidR="009C530D" w:rsidRPr="00EC59E9">
        <w:t xml:space="preserve">aluations </w:t>
      </w:r>
      <w:r w:rsidR="00A45E3C" w:rsidRPr="00EC59E9">
        <w:t>compressed</w:t>
      </w:r>
      <w:r>
        <w:t xml:space="preserve"> and</w:t>
      </w:r>
      <w:r w:rsidR="009C530D" w:rsidRPr="00EC59E9">
        <w:t xml:space="preserve"> investors</w:t>
      </w:r>
      <w:r w:rsidR="00EC59E9" w:rsidRPr="00EC59E9">
        <w:t xml:space="preserve"> worried </w:t>
      </w:r>
      <w:r>
        <w:t>about discounted</w:t>
      </w:r>
      <w:r w:rsidR="00EC59E9" w:rsidRPr="00EC59E9">
        <w:t xml:space="preserve"> future earnings </w:t>
      </w:r>
      <w:r>
        <w:t xml:space="preserve">in a </w:t>
      </w:r>
      <w:r w:rsidR="00EC59E9" w:rsidRPr="00EC59E9">
        <w:t>higher interest rate environment</w:t>
      </w:r>
      <w:r>
        <w:t xml:space="preserve">; </w:t>
      </w:r>
      <w:r w:rsidR="000A4FB9" w:rsidRPr="000A4FB9">
        <w:t>March</w:t>
      </w:r>
      <w:r w:rsidR="00A45E3C" w:rsidRPr="00A45E3C">
        <w:t xml:space="preserve"> 20</w:t>
      </w:r>
      <w:r w:rsidR="00A45E3C">
        <w:t xml:space="preserve">22, </w:t>
      </w:r>
      <w:r w:rsidR="00771736">
        <w:t>e</w:t>
      </w:r>
      <w:r w:rsidR="00771736" w:rsidRPr="00771736">
        <w:t>quity markets endured significant volatility and bear market runs</w:t>
      </w:r>
      <w:r>
        <w:t xml:space="preserve">; </w:t>
      </w:r>
      <w:r w:rsidR="00766952" w:rsidRPr="00766952">
        <w:t>Growth stocks hit hard</w:t>
      </w:r>
      <w:r>
        <w:t xml:space="preserve">est due to </w:t>
      </w:r>
      <w:r w:rsidR="00766952" w:rsidRPr="00766952">
        <w:t>borrowing cost</w:t>
      </w:r>
      <w:r>
        <w:t xml:space="preserve"> changes and uncertain future cash flows.</w:t>
      </w:r>
    </w:p>
    <w:p w14:paraId="02DD3A18" w14:textId="63149A47" w:rsidR="003441EE" w:rsidRDefault="003441EE" w:rsidP="003441EE">
      <w:pPr>
        <w:rPr>
          <w:b/>
          <w:bCs/>
        </w:rPr>
      </w:pPr>
      <w:r w:rsidRPr="003441EE">
        <w:rPr>
          <w:b/>
          <w:bCs/>
        </w:rPr>
        <w:t>Fixed Income:</w:t>
      </w:r>
    </w:p>
    <w:p w14:paraId="108ADD1C" w14:textId="77777777" w:rsidR="00CC53FC" w:rsidRDefault="004871B2" w:rsidP="003441EE">
      <w:r>
        <w:t>B</w:t>
      </w:r>
      <w:r w:rsidRPr="00903817">
        <w:t xml:space="preserve">ond prices </w:t>
      </w:r>
      <w:r>
        <w:t>fell</w:t>
      </w:r>
      <w:r w:rsidRPr="00903817">
        <w:t xml:space="preserve"> sharply</w:t>
      </w:r>
      <w:r>
        <w:t xml:space="preserve"> with hiking rates</w:t>
      </w:r>
      <w:r w:rsidRPr="004871B2">
        <w:t xml:space="preserve"> </w:t>
      </w:r>
      <w:r w:rsidRPr="00903817">
        <w:t xml:space="preserve">in March </w:t>
      </w:r>
      <w:r>
        <w:t xml:space="preserve">and </w:t>
      </w:r>
      <w:r w:rsidRPr="00903817">
        <w:t>bond yields surged</w:t>
      </w:r>
      <w:r>
        <w:t>;</w:t>
      </w:r>
      <w:r w:rsidR="00221673">
        <w:t xml:space="preserve"> </w:t>
      </w:r>
      <w:r>
        <w:t xml:space="preserve">long-duration </w:t>
      </w:r>
      <w:r w:rsidR="00221673" w:rsidRPr="00221673">
        <w:t xml:space="preserve">treasuries experienced some of the steepest declines in </w:t>
      </w:r>
      <w:r w:rsidR="00221673">
        <w:t xml:space="preserve">their </w:t>
      </w:r>
      <w:r w:rsidR="00221673" w:rsidRPr="00221673">
        <w:t>history</w:t>
      </w:r>
      <w:r>
        <w:t xml:space="preserve"> </w:t>
      </w:r>
      <w:r w:rsidRPr="004871B2">
        <w:t>and the yield curve inverted</w:t>
      </w:r>
      <w:r>
        <w:t xml:space="preserve"> indicating</w:t>
      </w:r>
      <w:r w:rsidRPr="004871B2">
        <w:t xml:space="preserve"> </w:t>
      </w:r>
      <w:r>
        <w:t>s</w:t>
      </w:r>
      <w:r w:rsidRPr="008B7C89">
        <w:t>hort</w:t>
      </w:r>
      <w:r>
        <w:t>-</w:t>
      </w:r>
      <w:r w:rsidRPr="008B7C89">
        <w:t>term</w:t>
      </w:r>
      <w:r w:rsidRPr="00202A48">
        <w:t xml:space="preserve"> treasury yields rose much faster than long-term yields</w:t>
      </w:r>
      <w:r>
        <w:t>.</w:t>
      </w:r>
    </w:p>
    <w:p w14:paraId="60D2A567" w14:textId="2115C032" w:rsidR="00CC53FC" w:rsidRPr="000B6CC3" w:rsidRDefault="003441EE" w:rsidP="003441EE">
      <w:pPr>
        <w:rPr>
          <w:b/>
          <w:bCs/>
        </w:rPr>
      </w:pPr>
      <w:r w:rsidRPr="003441EE">
        <w:rPr>
          <w:b/>
          <w:bCs/>
        </w:rPr>
        <w:t>FX</w:t>
      </w:r>
      <w:r w:rsidR="000B6CC3">
        <w:rPr>
          <w:b/>
          <w:bCs/>
        </w:rPr>
        <w:t xml:space="preserve"> &amp; </w:t>
      </w:r>
      <w:r w:rsidR="000B6CC3" w:rsidRPr="003441EE">
        <w:rPr>
          <w:b/>
          <w:bCs/>
        </w:rPr>
        <w:t xml:space="preserve">Commodities: </w:t>
      </w:r>
    </w:p>
    <w:p w14:paraId="3164BBE9" w14:textId="514B121D" w:rsidR="00EE0D83" w:rsidRPr="00CC53FC" w:rsidRDefault="00F32B6B" w:rsidP="003441EE">
      <w:pPr>
        <w:rPr>
          <w:b/>
          <w:bCs/>
        </w:rPr>
      </w:pPr>
      <w:r w:rsidRPr="00F32B6B">
        <w:t xml:space="preserve">US dollar </w:t>
      </w:r>
      <w:r w:rsidR="00CC53FC">
        <w:t xml:space="preserve">rallied as </w:t>
      </w:r>
      <w:r w:rsidRPr="00F32B6B">
        <w:t xml:space="preserve">global investors </w:t>
      </w:r>
      <w:r w:rsidR="00CC53FC">
        <w:t>sought</w:t>
      </w:r>
      <w:r w:rsidRPr="00F32B6B">
        <w:t xml:space="preserve"> higher yields</w:t>
      </w:r>
      <w:r w:rsidR="00CC53FC">
        <w:t xml:space="preserve">; </w:t>
      </w:r>
      <w:r w:rsidR="001815D5" w:rsidRPr="001815D5">
        <w:t>the strength caused significant depreciation in other major currencies</w:t>
      </w:r>
      <w:r w:rsidR="00EE0D83">
        <w:t xml:space="preserve">, </w:t>
      </w:r>
      <w:r w:rsidR="00EE0D83" w:rsidRPr="00EE0D83">
        <w:t>making imports more expensive for those nation</w:t>
      </w:r>
      <w:r w:rsidR="00CC53FC">
        <w:t>s</w:t>
      </w:r>
      <w:r w:rsidR="00270EEE">
        <w:t xml:space="preserve"> and</w:t>
      </w:r>
      <w:r w:rsidR="00CC53FC">
        <w:t xml:space="preserve"> creating </w:t>
      </w:r>
      <w:r w:rsidR="00A42638" w:rsidRPr="00A42638">
        <w:t xml:space="preserve">instability </w:t>
      </w:r>
      <w:r w:rsidR="00CC53FC">
        <w:t>a</w:t>
      </w:r>
      <w:r w:rsidR="00CC53FC" w:rsidRPr="00CC53FC">
        <w:t>mong markets with dollar</w:t>
      </w:r>
      <w:r w:rsidR="00CC53FC">
        <w:t>-</w:t>
      </w:r>
      <w:r w:rsidR="00CC53FC" w:rsidRPr="00CC53FC">
        <w:t>denominated debt.</w:t>
      </w:r>
    </w:p>
    <w:p w14:paraId="39A77151" w14:textId="19EB1D81" w:rsidR="00183700" w:rsidRDefault="00270EEE" w:rsidP="003441EE">
      <w:r>
        <w:t>G</w:t>
      </w:r>
      <w:r w:rsidR="00183700" w:rsidRPr="00444B76">
        <w:t>lobal demand expectations</w:t>
      </w:r>
      <w:r>
        <w:t xml:space="preserve"> cooled; </w:t>
      </w:r>
      <w:r w:rsidR="00183700" w:rsidRPr="00444B76">
        <w:t>With stronger borrowing costs</w:t>
      </w:r>
      <w:r>
        <w:t>,</w:t>
      </w:r>
      <w:r w:rsidR="00444B76" w:rsidRPr="00444B76">
        <w:t xml:space="preserve"> prices for many commodities began to retreat from their peaks later in the year as recession fears grew.</w:t>
      </w:r>
    </w:p>
    <w:p w14:paraId="229348FF" w14:textId="28AF96F7" w:rsidR="003441EE" w:rsidRPr="003441EE" w:rsidRDefault="003441EE" w:rsidP="003441EE">
      <w:pPr>
        <w:rPr>
          <w:b/>
          <w:bCs/>
        </w:rPr>
      </w:pPr>
      <w:r w:rsidRPr="003441EE">
        <w:rPr>
          <w:b/>
          <w:bCs/>
        </w:rPr>
        <w:t>Market Structure Observations</w:t>
      </w:r>
    </w:p>
    <w:p w14:paraId="017830C5" w14:textId="04429FA8" w:rsidR="000A4BD1" w:rsidRDefault="00270EEE" w:rsidP="00270EEE">
      <w:r>
        <w:t>L</w:t>
      </w:r>
      <w:r w:rsidR="0008284B">
        <w:t>iquidity dried</w:t>
      </w:r>
      <w:r w:rsidR="008425E6">
        <w:t xml:space="preserve"> up</w:t>
      </w:r>
      <w:r>
        <w:t xml:space="preserve"> and prices were </w:t>
      </w:r>
      <w:r w:rsidR="008E02BC" w:rsidRPr="008E02BC">
        <w:t>amplifie</w:t>
      </w:r>
      <w:r>
        <w:t xml:space="preserve">d; </w:t>
      </w:r>
      <w:r w:rsidR="006376F9" w:rsidRPr="00803BD3">
        <w:t>bid-ask spreads widen</w:t>
      </w:r>
      <w:r>
        <w:t>ed,</w:t>
      </w:r>
      <w:r w:rsidR="00803BD3">
        <w:t xml:space="preserve"> </w:t>
      </w:r>
      <w:r w:rsidR="00803BD3" w:rsidRPr="00803BD3">
        <w:t>increas</w:t>
      </w:r>
      <w:r>
        <w:t xml:space="preserve">ing </w:t>
      </w:r>
      <w:r w:rsidR="00803BD3" w:rsidRPr="00803BD3">
        <w:t xml:space="preserve">friction </w:t>
      </w:r>
      <w:r w:rsidR="00180F5F">
        <w:t xml:space="preserve">for </w:t>
      </w:r>
      <w:r w:rsidRPr="00803BD3">
        <w:t>short-term</w:t>
      </w:r>
      <w:r w:rsidR="00803BD3" w:rsidRPr="00803BD3">
        <w:t xml:space="preserve"> market</w:t>
      </w:r>
      <w:r w:rsidR="00803BD3">
        <w:t xml:space="preserve"> participants.</w:t>
      </w:r>
    </w:p>
    <w:p w14:paraId="300D4381" w14:textId="427673DE" w:rsidR="0081703D" w:rsidRDefault="008225F7" w:rsidP="003441EE">
      <w:r w:rsidRPr="0054277B">
        <w:t>Investors relied on</w:t>
      </w:r>
      <w:r w:rsidR="00270EEE">
        <w:t xml:space="preserve"> a </w:t>
      </w:r>
      <w:r w:rsidRPr="0054277B">
        <w:t>simple negative correlation</w:t>
      </w:r>
      <w:r w:rsidR="0054277B">
        <w:t xml:space="preserve"> </w:t>
      </w:r>
      <w:r w:rsidR="0054277B" w:rsidRPr="0054277B">
        <w:t>pattern between stocks and bonds</w:t>
      </w:r>
      <w:r w:rsidR="0054277B">
        <w:t xml:space="preserve">. </w:t>
      </w:r>
      <w:r w:rsidR="0054277B" w:rsidRPr="0054277B">
        <w:t>High inflation and rising rates hurt both</w:t>
      </w:r>
      <w:r w:rsidR="00BC191F" w:rsidRPr="00BC191F">
        <w:t xml:space="preserve"> st</w:t>
      </w:r>
      <w:r w:rsidR="00BC191F">
        <w:t>ock</w:t>
      </w:r>
      <w:r w:rsidR="00BC191F" w:rsidRPr="00BC191F">
        <w:t xml:space="preserve"> and bond prices at the same time</w:t>
      </w:r>
      <w:r w:rsidR="00BC191F">
        <w:t xml:space="preserve">, flipping to </w:t>
      </w:r>
      <w:r w:rsidR="000A4BD1">
        <w:t>a positive correlation.</w:t>
      </w:r>
    </w:p>
    <w:p w14:paraId="71813E46" w14:textId="6F6D9C5A" w:rsidR="00AE10EA" w:rsidRPr="0098213A" w:rsidRDefault="00816DCE" w:rsidP="0011664D">
      <w:pPr>
        <w:rPr>
          <w:b/>
          <w:bCs/>
        </w:rPr>
      </w:pPr>
      <w:r w:rsidRPr="00816DCE">
        <w:t>Managed futures</w:t>
      </w:r>
      <w:r w:rsidR="00560BD2">
        <w:t xml:space="preserve"> kept</w:t>
      </w:r>
      <w:r>
        <w:t xml:space="preserve"> their low-to-negative</w:t>
      </w:r>
      <w:r w:rsidRPr="00816DCE">
        <w:t xml:space="preserve"> correlation</w:t>
      </w:r>
      <w:r>
        <w:t xml:space="preserve"> </w:t>
      </w:r>
      <w:r w:rsidR="00560BD2">
        <w:t>to both stocks and bonds in 2022.</w:t>
      </w:r>
    </w:p>
    <w:p w14:paraId="49A0D39A" w14:textId="1A37818F" w:rsidR="00802995" w:rsidRPr="00802995" w:rsidRDefault="00802995" w:rsidP="0011664D">
      <w:pPr>
        <w:rPr>
          <w:b/>
          <w:bCs/>
        </w:rPr>
      </w:pPr>
      <w:r>
        <w:rPr>
          <w:b/>
          <w:bCs/>
        </w:rPr>
        <w:t>2023 Regional Banking C</w:t>
      </w:r>
      <w:r w:rsidR="007E0745">
        <w:rPr>
          <w:b/>
          <w:bCs/>
        </w:rPr>
        <w:t>risis</w:t>
      </w:r>
    </w:p>
    <w:p w14:paraId="7E33091A" w14:textId="0E9CB546" w:rsidR="00C12A77" w:rsidRPr="00C36A4A" w:rsidRDefault="000B6CC3" w:rsidP="00C12A77">
      <w:pPr>
        <w:rPr>
          <w:b/>
          <w:bCs/>
        </w:rPr>
      </w:pPr>
      <w:r w:rsidRPr="00C36A4A">
        <w:rPr>
          <w:b/>
          <w:bCs/>
        </w:rPr>
        <w:t>Overview</w:t>
      </w:r>
      <w:r w:rsidR="00C36A4A">
        <w:rPr>
          <w:b/>
          <w:bCs/>
        </w:rPr>
        <w:t>:</w:t>
      </w:r>
    </w:p>
    <w:p w14:paraId="301792FC" w14:textId="77777777" w:rsidR="000B6CC3" w:rsidRDefault="000B6CC3" w:rsidP="000B6CC3">
      <w:r>
        <w:t>R</w:t>
      </w:r>
      <w:r w:rsidR="00CA3F5D">
        <w:t>ising interest rates</w:t>
      </w:r>
      <w:r>
        <w:t xml:space="preserve"> </w:t>
      </w:r>
      <w:r w:rsidR="00CA3F5D">
        <w:t>devalued bond portfolios combined with a surge of uninsured depositor withdrawals</w:t>
      </w:r>
      <w:r>
        <w:t xml:space="preserve"> triggered a sharp bank-stock selloff.</w:t>
      </w:r>
      <w:r w:rsidRPr="000B6CC3">
        <w:t xml:space="preserve"> </w:t>
      </w:r>
    </w:p>
    <w:p w14:paraId="04B00880" w14:textId="77777777" w:rsidR="000B6CC3" w:rsidRDefault="000B6CC3" w:rsidP="00C12A77">
      <w:r>
        <w:t>Systemic danger of unrecognized duration risk within fixed-income portfolios while a specific exposure to uninsured deposits sparked obstacles.</w:t>
      </w:r>
      <w:r w:rsidRPr="000B6CC3">
        <w:t xml:space="preserve"> </w:t>
      </w:r>
    </w:p>
    <w:p w14:paraId="38C11649" w14:textId="490FF829" w:rsidR="00D5202F" w:rsidRDefault="000B6CC3" w:rsidP="00C12A77">
      <w:r>
        <w:t>Deposit outflows continued from smaller banks to larger, perceived-safer institutions. Banks tightened their lending standards to preserve liquidity, which made it harder for businesses and individuals to secure loans,</w:t>
      </w:r>
    </w:p>
    <w:p w14:paraId="044C32A7" w14:textId="77777777" w:rsidR="000B6CC3" w:rsidRDefault="00A80D3F" w:rsidP="00C12A77">
      <w:r w:rsidRPr="000B6CC3">
        <w:rPr>
          <w:b/>
          <w:bCs/>
        </w:rPr>
        <w:t>Volatility</w:t>
      </w:r>
    </w:p>
    <w:p w14:paraId="51C715E5" w14:textId="5803FFCD" w:rsidR="000B6CC3" w:rsidRDefault="000B6CC3" w:rsidP="000B6CC3">
      <w:r>
        <w:t xml:space="preserve">The VIX </w:t>
      </w:r>
      <w:r w:rsidR="00A80D3F">
        <w:t xml:space="preserve">shifted </w:t>
      </w:r>
      <w:r>
        <w:t xml:space="preserve">immediately </w:t>
      </w:r>
      <w:r w:rsidR="00A80D3F">
        <w:t>which led to market uncertainty while investors had to reassess risk across the entire sector</w:t>
      </w:r>
      <w:r>
        <w:t>; The magnitude was significant, with some individual stocks sharply declining by double digits, while broader sector indices reflected heavy short selling.</w:t>
      </w:r>
    </w:p>
    <w:p w14:paraId="361E9B1E" w14:textId="19B106D3" w:rsidR="00364D51" w:rsidRPr="00C12A77" w:rsidRDefault="000B6CC3" w:rsidP="00C12A77">
      <w:r>
        <w:t>Over the longer term, implied volatility subsided once stabilization occurred but remained elevated compared to pre-crisis levels. This stems from the lingering concerns about the stability of the sector.</w:t>
      </w:r>
    </w:p>
    <w:p w14:paraId="0ECC4428" w14:textId="77777777" w:rsidR="00C36A4A" w:rsidRDefault="00C12A77" w:rsidP="00C36A4A">
      <w:pPr>
        <w:spacing w:line="240" w:lineRule="auto"/>
        <w:rPr>
          <w:b/>
          <w:bCs/>
        </w:rPr>
      </w:pPr>
      <w:r w:rsidRPr="000B6CC3">
        <w:rPr>
          <w:b/>
          <w:bCs/>
        </w:rPr>
        <w:t>Cross-Asset Impact</w:t>
      </w:r>
    </w:p>
    <w:p w14:paraId="57FAD7C9" w14:textId="58429EA0" w:rsidR="000B6CC3" w:rsidRDefault="000B6CC3" w:rsidP="00C36A4A">
      <w:pPr>
        <w:spacing w:line="240" w:lineRule="auto"/>
        <w:rPr>
          <w:b/>
          <w:bCs/>
        </w:rPr>
      </w:pPr>
      <w:r w:rsidRPr="00367A21">
        <w:rPr>
          <w:b/>
          <w:bCs/>
        </w:rPr>
        <w:t>Managed Futures</w:t>
      </w:r>
      <w:r>
        <w:rPr>
          <w:b/>
          <w:bCs/>
        </w:rPr>
        <w:t>:</w:t>
      </w:r>
    </w:p>
    <w:p w14:paraId="498DA762" w14:textId="7F1C17B8" w:rsidR="000B6CC3" w:rsidRDefault="003657AC" w:rsidP="00C12A77">
      <w:r w:rsidRPr="003657AC">
        <w:t>Strategies</w:t>
      </w:r>
      <w:r>
        <w:t xml:space="preserve"> were</w:t>
      </w:r>
      <w:r w:rsidRPr="003657AC">
        <w:t xml:space="preserve"> already positioned for</w:t>
      </w:r>
      <w:r>
        <w:t xml:space="preserve"> l</w:t>
      </w:r>
      <w:r w:rsidRPr="003657AC">
        <w:t>ower rates and a weaker dollar</w:t>
      </w:r>
      <w:r>
        <w:t>, t</w:t>
      </w:r>
      <w:r w:rsidRPr="003657AC">
        <w:t xml:space="preserve">hough </w:t>
      </w:r>
      <w:r w:rsidR="009319B4">
        <w:t>s</w:t>
      </w:r>
      <w:r w:rsidR="009319B4" w:rsidRPr="003657AC">
        <w:t>horter-term</w:t>
      </w:r>
      <w:r w:rsidRPr="003657AC">
        <w:t xml:space="preserve"> </w:t>
      </w:r>
      <w:r>
        <w:t>models faced back-and-forth risk once the acute phase p</w:t>
      </w:r>
      <w:r w:rsidRPr="003657AC">
        <w:t>assed within a few weeks.</w:t>
      </w:r>
    </w:p>
    <w:p w14:paraId="57F8DDE2" w14:textId="33106B62" w:rsidR="00CD5626" w:rsidRPr="00CD5626" w:rsidRDefault="00776D66" w:rsidP="00C12A77">
      <w:pPr>
        <w:rPr>
          <w:b/>
          <w:bCs/>
        </w:rPr>
      </w:pPr>
      <w:r w:rsidRPr="00CD5626">
        <w:rPr>
          <w:b/>
          <w:bCs/>
        </w:rPr>
        <w:t>Equities</w:t>
      </w:r>
      <w:r w:rsidR="00CD5626">
        <w:rPr>
          <w:b/>
          <w:bCs/>
        </w:rPr>
        <w:t>:</w:t>
      </w:r>
    </w:p>
    <w:p w14:paraId="593B5EFC" w14:textId="131C7B8D" w:rsidR="00776D66" w:rsidRDefault="00CD5626" w:rsidP="00C12A77">
      <w:r>
        <w:t>R</w:t>
      </w:r>
      <w:r w:rsidR="00776D66">
        <w:t xml:space="preserve">egional </w:t>
      </w:r>
      <w:r>
        <w:t>banks’</w:t>
      </w:r>
      <w:r w:rsidR="00776D66">
        <w:t xml:space="preserve"> stocks plummeted while </w:t>
      </w:r>
      <w:r>
        <w:t xml:space="preserve">select </w:t>
      </w:r>
      <w:r w:rsidR="00776D66">
        <w:t xml:space="preserve">tech </w:t>
      </w:r>
      <w:r>
        <w:t xml:space="preserve">names </w:t>
      </w:r>
      <w:r w:rsidR="00776D66">
        <w:t xml:space="preserve">benefited </w:t>
      </w:r>
      <w:r>
        <w:t>from rate-</w:t>
      </w:r>
      <w:r w:rsidR="00776D66">
        <w:t xml:space="preserve">pause </w:t>
      </w:r>
      <w:r>
        <w:t>speculation</w:t>
      </w:r>
      <w:r w:rsidR="00776D66">
        <w:t>. Broader market indices saw heightened volatility.</w:t>
      </w:r>
    </w:p>
    <w:p w14:paraId="14B7F3A2" w14:textId="77777777" w:rsidR="00CD5626" w:rsidRDefault="00776D66" w:rsidP="00C12A77">
      <w:r w:rsidRPr="00CD5626">
        <w:rPr>
          <w:b/>
          <w:bCs/>
        </w:rPr>
        <w:t>Fixed Income</w:t>
      </w:r>
      <w:r w:rsidR="00CD5626">
        <w:t>:</w:t>
      </w:r>
    </w:p>
    <w:p w14:paraId="061B2B7D" w14:textId="15FBB7A4" w:rsidR="00776D66" w:rsidRDefault="00CD5626" w:rsidP="00C12A77">
      <w:r>
        <w:t xml:space="preserve">Yields </w:t>
      </w:r>
      <w:r w:rsidR="00776D66">
        <w:t>drop</w:t>
      </w:r>
      <w:r>
        <w:t>ped</w:t>
      </w:r>
      <w:r w:rsidR="00776D66">
        <w:t xml:space="preserve"> as investors flocked to the safety of government bonds</w:t>
      </w:r>
      <w:r>
        <w:t xml:space="preserve"> </w:t>
      </w:r>
      <w:r w:rsidR="00776D66">
        <w:t xml:space="preserve">and </w:t>
      </w:r>
      <w:r>
        <w:t>priced in a Fed pause.</w:t>
      </w:r>
    </w:p>
    <w:p w14:paraId="2CB7C875" w14:textId="3616E102" w:rsidR="00CD5626" w:rsidRDefault="00776D66" w:rsidP="00C12A77">
      <w:r w:rsidRPr="00CD5626">
        <w:rPr>
          <w:b/>
          <w:bCs/>
        </w:rPr>
        <w:t>FX</w:t>
      </w:r>
      <w:r w:rsidR="00CD5626">
        <w:rPr>
          <w:b/>
          <w:bCs/>
        </w:rPr>
        <w:t xml:space="preserve"> &amp; Commodities</w:t>
      </w:r>
      <w:r w:rsidR="00CD5626" w:rsidRPr="00CD5626">
        <w:rPr>
          <w:b/>
          <w:bCs/>
        </w:rPr>
        <w:t>:</w:t>
      </w:r>
    </w:p>
    <w:p w14:paraId="1F1374A7" w14:textId="36C2422B" w:rsidR="00776D66" w:rsidRDefault="00CD5626" w:rsidP="00C12A77">
      <w:r>
        <w:t>The</w:t>
      </w:r>
      <w:r w:rsidR="00FD0D81">
        <w:t xml:space="preserve"> </w:t>
      </w:r>
      <w:r w:rsidR="00776D66">
        <w:t>U.S. dollar weakened on expectations of less aggressive monetary policy, while safe-haven currencies saw temporary support.</w:t>
      </w:r>
    </w:p>
    <w:p w14:paraId="711F34A0" w14:textId="0F389B26" w:rsidR="00776D66" w:rsidRPr="00C12A77" w:rsidRDefault="00776D66" w:rsidP="00C12A77">
      <w:r>
        <w:t>Finally, commodities faced downward pressure, reflecting growing concerns about global economic growth and reduced demand.</w:t>
      </w:r>
    </w:p>
    <w:p w14:paraId="4E4382F2" w14:textId="77777777" w:rsidR="004E349D" w:rsidRDefault="004E349D" w:rsidP="0011664D">
      <w:pPr>
        <w:rPr>
          <w:b/>
          <w:bCs/>
        </w:rPr>
      </w:pPr>
    </w:p>
    <w:p w14:paraId="0EAC1464" w14:textId="77777777" w:rsidR="004E349D" w:rsidRDefault="004E349D" w:rsidP="0011664D">
      <w:pPr>
        <w:rPr>
          <w:b/>
          <w:bCs/>
        </w:rPr>
      </w:pPr>
    </w:p>
    <w:p w14:paraId="20BCB9D3" w14:textId="0F035A4E" w:rsidR="00C12A77" w:rsidRPr="00CD5626" w:rsidRDefault="00C12A77" w:rsidP="0011664D">
      <w:pPr>
        <w:rPr>
          <w:b/>
          <w:bCs/>
        </w:rPr>
      </w:pPr>
      <w:r w:rsidRPr="00CD5626">
        <w:rPr>
          <w:b/>
          <w:bCs/>
        </w:rPr>
        <w:t>Market Structure Observations</w:t>
      </w:r>
    </w:p>
    <w:p w14:paraId="0FD148F6" w14:textId="3220ACD9" w:rsidR="00002523" w:rsidRPr="00E83B89" w:rsidRDefault="008B0A47" w:rsidP="0011664D">
      <w:r w:rsidRPr="008B0A47">
        <w:t>Bid</w:t>
      </w:r>
      <w:r>
        <w:t>-</w:t>
      </w:r>
      <w:r w:rsidRPr="008B0A47">
        <w:t>ask spreads and market depth in bank stocks and related credit instruments deteriorated sharply, amplifying intraday price swings relative to actual order flow.</w:t>
      </w:r>
    </w:p>
    <w:p w14:paraId="0ACD9A19" w14:textId="4AFE10A4" w:rsidR="008B0A47" w:rsidRDefault="008B0A47" w:rsidP="0011664D">
      <w:pPr>
        <w:rPr>
          <w:b/>
          <w:bCs/>
        </w:rPr>
      </w:pPr>
      <w:r w:rsidRPr="008B0A47">
        <w:rPr>
          <w:b/>
          <w:bCs/>
        </w:rPr>
        <w:t xml:space="preserve">2024 </w:t>
      </w:r>
      <w:r>
        <w:rPr>
          <w:b/>
          <w:bCs/>
        </w:rPr>
        <w:t>Y</w:t>
      </w:r>
      <w:r w:rsidRPr="008B0A47">
        <w:rPr>
          <w:b/>
          <w:bCs/>
        </w:rPr>
        <w:t xml:space="preserve">en </w:t>
      </w:r>
      <w:r>
        <w:rPr>
          <w:b/>
          <w:bCs/>
        </w:rPr>
        <w:t>C</w:t>
      </w:r>
      <w:r w:rsidRPr="008B0A47">
        <w:rPr>
          <w:b/>
          <w:bCs/>
        </w:rPr>
        <w:t xml:space="preserve">arry </w:t>
      </w:r>
      <w:r>
        <w:rPr>
          <w:b/>
          <w:bCs/>
        </w:rPr>
        <w:t>T</w:t>
      </w:r>
      <w:r w:rsidRPr="008B0A47">
        <w:rPr>
          <w:b/>
          <w:bCs/>
        </w:rPr>
        <w:t xml:space="preserve">rade </w:t>
      </w:r>
      <w:r>
        <w:rPr>
          <w:b/>
          <w:bCs/>
        </w:rPr>
        <w:t>U</w:t>
      </w:r>
      <w:r w:rsidRPr="008B0A47">
        <w:rPr>
          <w:b/>
          <w:bCs/>
        </w:rPr>
        <w:t>nwind</w:t>
      </w:r>
    </w:p>
    <w:p w14:paraId="5EC868D9" w14:textId="50B1A2AC" w:rsidR="008B0A47" w:rsidRDefault="008B0A47" w:rsidP="0011664D">
      <w:pPr>
        <w:rPr>
          <w:b/>
          <w:bCs/>
        </w:rPr>
      </w:pPr>
      <w:r w:rsidRPr="008B0A47">
        <w:rPr>
          <w:b/>
          <w:bCs/>
        </w:rPr>
        <w:t>Overview</w:t>
      </w:r>
    </w:p>
    <w:p w14:paraId="6DF67EE0" w14:textId="014EC43A" w:rsidR="00B1234A" w:rsidRDefault="00B1234A" w:rsidP="0011664D">
      <w:r w:rsidRPr="00B1234A">
        <w:t>The Bank of Japan</w:t>
      </w:r>
      <w:r>
        <w:t>’s unexpected r</w:t>
      </w:r>
      <w:r w:rsidRPr="00B1234A">
        <w:t>ate hike on July 31</w:t>
      </w:r>
      <w:r>
        <w:t>, n</w:t>
      </w:r>
      <w:r w:rsidRPr="00B1234A">
        <w:t>arrow</w:t>
      </w:r>
      <w:r>
        <w:t xml:space="preserve">ing </w:t>
      </w:r>
      <w:r w:rsidRPr="00B1234A">
        <w:t>the US</w:t>
      </w:r>
      <w:r>
        <w:t>-</w:t>
      </w:r>
      <w:r w:rsidRPr="00B1234A">
        <w:t xml:space="preserve">Japan interest rate </w:t>
      </w:r>
      <w:r w:rsidR="00773600" w:rsidRPr="00B1234A">
        <w:t>differential</w:t>
      </w:r>
      <w:r w:rsidR="00773600">
        <w:t>,</w:t>
      </w:r>
      <w:r>
        <w:rPr>
          <w:vertAlign w:val="superscript"/>
        </w:rPr>
        <w:t xml:space="preserve"> </w:t>
      </w:r>
      <w:r>
        <w:t>c</w:t>
      </w:r>
      <w:r w:rsidRPr="00B1234A">
        <w:t>ombined with a weak U.S. jobs report</w:t>
      </w:r>
      <w:r>
        <w:t xml:space="preserve"> t</w:t>
      </w:r>
      <w:r w:rsidRPr="00B1234A">
        <w:t>riggered</w:t>
      </w:r>
      <w:r>
        <w:t xml:space="preserve"> a</w:t>
      </w:r>
      <w:r w:rsidRPr="00B1234A">
        <w:t xml:space="preserve"> massive unwind of yen funded carry trades on August 5, 2024</w:t>
      </w:r>
      <w:r w:rsidR="001A754E">
        <w:rPr>
          <w:rStyle w:val="FootnoteReference"/>
        </w:rPr>
        <w:footnoteReference w:id="5"/>
      </w:r>
      <w:r>
        <w:t>.</w:t>
      </w:r>
    </w:p>
    <w:p w14:paraId="36DAF3A8" w14:textId="13381F36" w:rsidR="00B1234A" w:rsidRDefault="00B1234A" w:rsidP="0011664D">
      <w:r w:rsidRPr="00B1234A">
        <w:t xml:space="preserve">This became a technical leverage driven shock </w:t>
      </w:r>
      <w:r>
        <w:t>r</w:t>
      </w:r>
      <w:r w:rsidRPr="00B1234A">
        <w:t>ather than inflation</w:t>
      </w:r>
      <w:r>
        <w:t xml:space="preserve"> o</w:t>
      </w:r>
      <w:r w:rsidRPr="00B1234A">
        <w:t>r a repricing of growth</w:t>
      </w:r>
      <w:r>
        <w:t xml:space="preserve"> and </w:t>
      </w:r>
      <w:r w:rsidRPr="00B1234A">
        <w:t>Forced liquidation of global assets.</w:t>
      </w:r>
    </w:p>
    <w:p w14:paraId="05BE3A08" w14:textId="2F78ED43" w:rsidR="00773600" w:rsidRPr="00773600" w:rsidRDefault="00773600" w:rsidP="0011664D">
      <w:pPr>
        <w:rPr>
          <w:b/>
          <w:bCs/>
        </w:rPr>
      </w:pPr>
      <w:r w:rsidRPr="00773600">
        <w:rPr>
          <w:b/>
          <w:bCs/>
        </w:rPr>
        <w:t>Volatility</w:t>
      </w:r>
    </w:p>
    <w:p w14:paraId="36B1F032" w14:textId="551DB25A" w:rsidR="00773600" w:rsidRDefault="00773600" w:rsidP="0011664D">
      <w:r w:rsidRPr="00773600">
        <w:t>The VIX</w:t>
      </w:r>
      <w:r>
        <w:t xml:space="preserve"> </w:t>
      </w:r>
      <w:r w:rsidRPr="00773600">
        <w:t>Reached its highest intraday peak</w:t>
      </w:r>
      <w:r>
        <w:t xml:space="preserve"> </w:t>
      </w:r>
      <w:r w:rsidRPr="00773600">
        <w:t>Near 65</w:t>
      </w:r>
      <w:r w:rsidR="001A754E">
        <w:rPr>
          <w:rStyle w:val="FootnoteReference"/>
        </w:rPr>
        <w:footnoteReference w:id="6"/>
      </w:r>
      <w:r>
        <w:t xml:space="preserve"> (</w:t>
      </w:r>
      <w:r w:rsidRPr="00773600">
        <w:t>Its most extreme single day since</w:t>
      </w:r>
      <w:r>
        <w:t xml:space="preserve"> </w:t>
      </w:r>
      <w:r w:rsidRPr="00773600">
        <w:t>COVID</w:t>
      </w:r>
      <w:r w:rsidR="009319B4">
        <w:t>)</w:t>
      </w:r>
      <w:r w:rsidRPr="00773600">
        <w:t xml:space="preserve"> then </w:t>
      </w:r>
      <w:r w:rsidR="009319B4" w:rsidRPr="00773600">
        <w:t>compress</w:t>
      </w:r>
      <w:r w:rsidR="009319B4">
        <w:t xml:space="preserve">ed </w:t>
      </w:r>
      <w:r w:rsidR="009319B4" w:rsidRPr="00773600">
        <w:t>back</w:t>
      </w:r>
      <w:r w:rsidRPr="00773600">
        <w:t xml:space="preserve"> to the low to mid 20s</w:t>
      </w:r>
      <w:r>
        <w:t xml:space="preserve"> a</w:t>
      </w:r>
      <w:r w:rsidRPr="00773600">
        <w:t>fter</w:t>
      </w:r>
      <w:r>
        <w:t xml:space="preserve"> r</w:t>
      </w:r>
      <w:r w:rsidRPr="00773600">
        <w:t>oughly a week</w:t>
      </w:r>
      <w:r w:rsidR="009319B4">
        <w:t xml:space="preserve">; </w:t>
      </w:r>
      <w:r w:rsidR="009319B4" w:rsidRPr="009319B4">
        <w:t>spot VIX traded at a record gap above VIX futures, signaling options-market microstructure stress rather than a broad repricing.</w:t>
      </w:r>
    </w:p>
    <w:p w14:paraId="0B06F2C5" w14:textId="4EAA0060" w:rsidR="009319B4" w:rsidRPr="009319B4" w:rsidRDefault="009319B4" w:rsidP="009319B4">
      <w:r w:rsidRPr="009319B4">
        <w:rPr>
          <w:b/>
          <w:bCs/>
        </w:rPr>
        <w:t xml:space="preserve">Cross-Asset </w:t>
      </w:r>
      <w:r>
        <w:rPr>
          <w:b/>
          <w:bCs/>
        </w:rPr>
        <w:t>Impact</w:t>
      </w:r>
    </w:p>
    <w:p w14:paraId="249C2F55" w14:textId="77777777" w:rsidR="009319B4" w:rsidRPr="009319B4" w:rsidRDefault="009319B4" w:rsidP="009319B4">
      <w:r w:rsidRPr="009319B4">
        <w:rPr>
          <w:b/>
          <w:bCs/>
        </w:rPr>
        <w:t xml:space="preserve">Managed Futures: </w:t>
      </w:r>
      <w:r w:rsidRPr="009319B4">
        <w:t>Trend programs had built exposure to the prevailing equity, yen, and carry trends; the reversal tested risk controls over days, though the asset class saw notably lower drawdowns than global equities during the episode.</w:t>
      </w:r>
    </w:p>
    <w:p w14:paraId="16D09976" w14:textId="100FB0FB" w:rsidR="009319B4" w:rsidRPr="009319B4" w:rsidRDefault="009319B4" w:rsidP="009319B4">
      <w:r w:rsidRPr="009319B4">
        <w:rPr>
          <w:b/>
          <w:bCs/>
        </w:rPr>
        <w:t xml:space="preserve">Equities: </w:t>
      </w:r>
      <w:r w:rsidRPr="009319B4">
        <w:t>The S&amp;P 500 fell roughly 6% over three trading days</w:t>
      </w:r>
      <w:r w:rsidR="001A754E">
        <w:rPr>
          <w:rStyle w:val="FootnoteReference"/>
        </w:rPr>
        <w:footnoteReference w:id="7"/>
      </w:r>
      <w:r w:rsidRPr="009319B4">
        <w:t>; Japanese equities bore the brunt, with the TOPIX falling about 12% in a single session</w:t>
      </w:r>
      <w:r w:rsidR="001A754E">
        <w:rPr>
          <w:rStyle w:val="FootnoteReference"/>
        </w:rPr>
        <w:footnoteReference w:id="8"/>
      </w:r>
      <w:r w:rsidRPr="009319B4">
        <w:t>, its worst day since 1987.</w:t>
      </w:r>
    </w:p>
    <w:p w14:paraId="5B9C0594" w14:textId="77777777" w:rsidR="009319B4" w:rsidRPr="009319B4" w:rsidRDefault="009319B4" w:rsidP="009319B4">
      <w:r w:rsidRPr="009319B4">
        <w:rPr>
          <w:b/>
          <w:bCs/>
        </w:rPr>
        <w:t xml:space="preserve">Fixed Income: </w:t>
      </w:r>
      <w:r w:rsidRPr="009319B4">
        <w:t>Treasuries saw a brief safe-haven bid before resuming their broader 2024 uptrend, driven more by fiscal-deficit concerns than by the carry-trade episode itself.</w:t>
      </w:r>
    </w:p>
    <w:p w14:paraId="0713BA60" w14:textId="0771FD74" w:rsidR="00CD5626" w:rsidRDefault="009319B4" w:rsidP="0011664D">
      <w:r w:rsidRPr="009319B4">
        <w:rPr>
          <w:b/>
          <w:bCs/>
        </w:rPr>
        <w:t xml:space="preserve">FX &amp; Commodities: </w:t>
      </w:r>
      <w:r w:rsidRPr="009319B4">
        <w:t>The yen appreciated sharply as carry positions unwound</w:t>
      </w:r>
      <w:r>
        <w:t>;</w:t>
      </w:r>
      <w:r w:rsidRPr="009319B4">
        <w:t xml:space="preserve"> the primary transmission channel into other assets; commodities saw a muted reaction overall, with gold picking up a modest safety bid.</w:t>
      </w:r>
    </w:p>
    <w:p w14:paraId="466763F1" w14:textId="77777777" w:rsidR="009319B4" w:rsidRDefault="009319B4" w:rsidP="009319B4">
      <w:pPr>
        <w:rPr>
          <w:b/>
          <w:bCs/>
        </w:rPr>
      </w:pPr>
      <w:r w:rsidRPr="00CD5626">
        <w:rPr>
          <w:b/>
          <w:bCs/>
        </w:rPr>
        <w:t>Market Structure Observations</w:t>
      </w:r>
    </w:p>
    <w:p w14:paraId="312DB16A" w14:textId="2A93D760" w:rsidR="009319B4" w:rsidRDefault="0096050A" w:rsidP="009319B4">
      <w:r w:rsidRPr="0096050A">
        <w:t>Market depth evaporated intraday on August 5 before recovering within days, a reminder of how quickly liquidity can return once forced selling clears.</w:t>
      </w:r>
    </w:p>
    <w:p w14:paraId="7A9606BA" w14:textId="77777777" w:rsidR="00E83B89" w:rsidRPr="00E83B89" w:rsidRDefault="00E83B89" w:rsidP="009319B4"/>
    <w:p w14:paraId="25EA7658" w14:textId="5C5A7685" w:rsidR="009319B4" w:rsidRPr="009319B4" w:rsidRDefault="009319B4" w:rsidP="009319B4">
      <w:pPr>
        <w:rPr>
          <w:b/>
          <w:bCs/>
        </w:rPr>
      </w:pPr>
      <w:r w:rsidRPr="009319B4">
        <w:rPr>
          <w:b/>
          <w:bCs/>
        </w:rPr>
        <w:t xml:space="preserve">2025 </w:t>
      </w:r>
      <w:r w:rsidR="00882A4F">
        <w:rPr>
          <w:b/>
          <w:bCs/>
        </w:rPr>
        <w:t>Trump</w:t>
      </w:r>
      <w:r w:rsidRPr="009319B4">
        <w:rPr>
          <w:b/>
          <w:bCs/>
        </w:rPr>
        <w:t xml:space="preserve"> Tariffs</w:t>
      </w:r>
    </w:p>
    <w:p w14:paraId="4E233A51" w14:textId="77777777" w:rsidR="009319B4" w:rsidRDefault="009319B4" w:rsidP="009319B4">
      <w:pPr>
        <w:rPr>
          <w:b/>
          <w:bCs/>
        </w:rPr>
      </w:pPr>
      <w:r w:rsidRPr="008B0A47">
        <w:rPr>
          <w:b/>
          <w:bCs/>
        </w:rPr>
        <w:t>Overview</w:t>
      </w:r>
    </w:p>
    <w:p w14:paraId="1EE8C774" w14:textId="40B439E6" w:rsidR="00882A4F" w:rsidRDefault="00882A4F" w:rsidP="009319B4">
      <w:r w:rsidRPr="00882A4F">
        <w:t>April 2</w:t>
      </w:r>
      <w:r>
        <w:t xml:space="preserve"> m</w:t>
      </w:r>
      <w:r w:rsidRPr="00882A4F">
        <w:t>arked the start of</w:t>
      </w:r>
      <w:r>
        <w:t xml:space="preserve"> s</w:t>
      </w:r>
      <w:r w:rsidRPr="00882A4F">
        <w:t xml:space="preserve">weeping </w:t>
      </w:r>
      <w:r>
        <w:t xml:space="preserve">tariffs; </w:t>
      </w:r>
      <w:r w:rsidRPr="00882A4F">
        <w:t>President Trump</w:t>
      </w:r>
      <w:r>
        <w:t xml:space="preserve"> s</w:t>
      </w:r>
      <w:r w:rsidRPr="00882A4F">
        <w:t xml:space="preserve">ignificantly escalated </w:t>
      </w:r>
      <w:r>
        <w:t>his trade</w:t>
      </w:r>
      <w:r w:rsidRPr="00882A4F">
        <w:t xml:space="preserve"> policy </w:t>
      </w:r>
      <w:r>
        <w:t>s</w:t>
      </w:r>
      <w:r w:rsidRPr="00882A4F">
        <w:t>tarting with a flat 10% baseline tariff</w:t>
      </w:r>
      <w:r>
        <w:t>, a</w:t>
      </w:r>
      <w:r w:rsidRPr="00882A4F">
        <w:t xml:space="preserve">pplied to nearly all imports entering the </w:t>
      </w:r>
      <w:r>
        <w:t>U</w:t>
      </w:r>
      <w:r w:rsidRPr="00882A4F">
        <w:t xml:space="preserve">nited </w:t>
      </w:r>
      <w:r>
        <w:t>S</w:t>
      </w:r>
      <w:r w:rsidRPr="00882A4F">
        <w:t>tates</w:t>
      </w:r>
      <w:r>
        <w:t xml:space="preserve"> with higher rates applied to specific countries</w:t>
      </w:r>
      <w:r w:rsidR="001A754E">
        <w:rPr>
          <w:rStyle w:val="FootnoteReference"/>
        </w:rPr>
        <w:footnoteReference w:id="9"/>
      </w:r>
      <w:r w:rsidR="001A754E">
        <w:t>.</w:t>
      </w:r>
    </w:p>
    <w:p w14:paraId="04CA59D6" w14:textId="0997F4CD" w:rsidR="00882A4F" w:rsidRDefault="00882A4F" w:rsidP="009319B4">
      <w:r w:rsidRPr="00882A4F">
        <w:t xml:space="preserve">It triggered one of the </w:t>
      </w:r>
      <w:r>
        <w:t>s</w:t>
      </w:r>
      <w:r w:rsidRPr="00882A4F">
        <w:t>teepest</w:t>
      </w:r>
      <w:r>
        <w:t xml:space="preserve"> sell</w:t>
      </w:r>
      <w:r w:rsidRPr="00882A4F">
        <w:t xml:space="preserve">offs in history before an </w:t>
      </w:r>
      <w:r>
        <w:t>i</w:t>
      </w:r>
      <w:r w:rsidRPr="00882A4F">
        <w:t>mpressive comeback</w:t>
      </w:r>
      <w:r>
        <w:t xml:space="preserve"> w</w:t>
      </w:r>
      <w:r w:rsidRPr="00882A4F">
        <w:t>ith negotiations and exemptions taking place.</w:t>
      </w:r>
    </w:p>
    <w:p w14:paraId="4BE861B8" w14:textId="30A1BF90" w:rsidR="009319B4" w:rsidRDefault="009319B4" w:rsidP="009319B4">
      <w:pPr>
        <w:rPr>
          <w:b/>
          <w:bCs/>
        </w:rPr>
      </w:pPr>
      <w:r w:rsidRPr="00773600">
        <w:rPr>
          <w:b/>
          <w:bCs/>
        </w:rPr>
        <w:t>Volatilit</w:t>
      </w:r>
      <w:r w:rsidR="00882A4F">
        <w:rPr>
          <w:b/>
          <w:bCs/>
        </w:rPr>
        <w:t>y</w:t>
      </w:r>
    </w:p>
    <w:p w14:paraId="5A002F76" w14:textId="688D1809" w:rsidR="00002523" w:rsidRPr="00E83B89" w:rsidRDefault="00882A4F" w:rsidP="009319B4">
      <w:r w:rsidRPr="00882A4F">
        <w:t>The VIX</w:t>
      </w:r>
      <w:r>
        <w:t xml:space="preserve"> e</w:t>
      </w:r>
      <w:r w:rsidRPr="00882A4F">
        <w:t>ntered its highest level</w:t>
      </w:r>
      <w:r>
        <w:t xml:space="preserve"> s</w:t>
      </w:r>
      <w:r w:rsidRPr="00882A4F">
        <w:t>ince COVID</w:t>
      </w:r>
      <w:r>
        <w:t xml:space="preserve"> o</w:t>
      </w:r>
      <w:r w:rsidRPr="00882A4F">
        <w:t>utside of the 2024</w:t>
      </w:r>
      <w:r>
        <w:t xml:space="preserve"> episode b</w:t>
      </w:r>
      <w:r w:rsidRPr="00882A4F">
        <w:t>efore subsid</w:t>
      </w:r>
      <w:r>
        <w:t xml:space="preserve">ing </w:t>
      </w:r>
      <w:r w:rsidRPr="00882A4F">
        <w:t xml:space="preserve">within </w:t>
      </w:r>
      <w:r>
        <w:t>a</w:t>
      </w:r>
      <w:r w:rsidRPr="00882A4F">
        <w:t>bout a week as</w:t>
      </w:r>
      <w:r>
        <w:t xml:space="preserve"> p</w:t>
      </w:r>
      <w:r w:rsidRPr="00882A4F">
        <w:t>olicy stance soften</w:t>
      </w:r>
      <w:r>
        <w:t>ed</w:t>
      </w:r>
      <w:r w:rsidR="0042526D">
        <w:t xml:space="preserve">, </w:t>
      </w:r>
      <w:r w:rsidR="00270350">
        <w:t>closing at a high of</w:t>
      </w:r>
      <w:r w:rsidR="00C63B44">
        <w:t xml:space="preserve"> </w:t>
      </w:r>
      <w:r w:rsidR="0071617B">
        <w:t>52.33</w:t>
      </w:r>
      <w:r w:rsidR="001A754E">
        <w:rPr>
          <w:rStyle w:val="FootnoteReference"/>
        </w:rPr>
        <w:footnoteReference w:id="10"/>
      </w:r>
      <w:r w:rsidR="001A754E">
        <w:t>.</w:t>
      </w:r>
    </w:p>
    <w:p w14:paraId="31FE7DA0" w14:textId="45DA1263" w:rsidR="009319B4" w:rsidRPr="009319B4" w:rsidRDefault="009319B4" w:rsidP="009319B4">
      <w:r w:rsidRPr="009319B4">
        <w:rPr>
          <w:b/>
          <w:bCs/>
        </w:rPr>
        <w:t xml:space="preserve">Cross-Asset </w:t>
      </w:r>
      <w:r>
        <w:rPr>
          <w:b/>
          <w:bCs/>
        </w:rPr>
        <w:t>Impact</w:t>
      </w:r>
    </w:p>
    <w:p w14:paraId="0B263D91" w14:textId="7FC3CC06" w:rsidR="009319B4" w:rsidRDefault="009319B4" w:rsidP="009319B4">
      <w:pPr>
        <w:rPr>
          <w:b/>
          <w:bCs/>
        </w:rPr>
      </w:pPr>
      <w:r w:rsidRPr="009319B4">
        <w:rPr>
          <w:b/>
          <w:bCs/>
        </w:rPr>
        <w:t xml:space="preserve">Managed Futures: </w:t>
      </w:r>
    </w:p>
    <w:p w14:paraId="1B5B0392" w14:textId="0BD07DA0" w:rsidR="00C63B44" w:rsidRPr="00C63B44" w:rsidRDefault="003B0313" w:rsidP="009319B4">
      <w:r>
        <w:t>The abrupt</w:t>
      </w:r>
      <w:r w:rsidRPr="003B0313">
        <w:t xml:space="preserve"> </w:t>
      </w:r>
      <w:r>
        <w:t>m</w:t>
      </w:r>
      <w:r w:rsidRPr="003B0313">
        <w:t>id-April</w:t>
      </w:r>
      <w:r>
        <w:t xml:space="preserve"> reversal t</w:t>
      </w:r>
      <w:r w:rsidRPr="003B0313">
        <w:t>ested shorter timeframe models than</w:t>
      </w:r>
      <w:r>
        <w:t xml:space="preserve"> l</w:t>
      </w:r>
      <w:r w:rsidRPr="003B0313">
        <w:t>onger trend programs</w:t>
      </w:r>
      <w:r>
        <w:t xml:space="preserve">. </w:t>
      </w:r>
      <w:r w:rsidRPr="003B0313">
        <w:t>Trends were established</w:t>
      </w:r>
      <w:r>
        <w:t xml:space="preserve"> a</w:t>
      </w:r>
      <w:r w:rsidRPr="003B0313">
        <w:t xml:space="preserve">cross equities, rates </w:t>
      </w:r>
      <w:r>
        <w:t>and</w:t>
      </w:r>
      <w:r w:rsidRPr="003B0313">
        <w:t xml:space="preserve"> the dollar meant early participation in the move.</w:t>
      </w:r>
    </w:p>
    <w:p w14:paraId="5514A05E" w14:textId="3027BE7F" w:rsidR="009319B4" w:rsidRDefault="009319B4" w:rsidP="009319B4">
      <w:pPr>
        <w:rPr>
          <w:b/>
          <w:bCs/>
        </w:rPr>
      </w:pPr>
      <w:r w:rsidRPr="009319B4">
        <w:rPr>
          <w:b/>
          <w:bCs/>
        </w:rPr>
        <w:t xml:space="preserve">Equities: </w:t>
      </w:r>
    </w:p>
    <w:p w14:paraId="5D56D82E" w14:textId="054158BE" w:rsidR="003B0313" w:rsidRPr="003B0313" w:rsidRDefault="003B0313" w:rsidP="009319B4">
      <w:r w:rsidRPr="003B0313">
        <w:t xml:space="preserve">The S&amp;P 500 dropped </w:t>
      </w:r>
      <w:r w:rsidR="0042526D">
        <w:t>nearly 10</w:t>
      </w:r>
      <w:r w:rsidRPr="003B0313">
        <w:t xml:space="preserve">% in </w:t>
      </w:r>
      <w:r w:rsidR="0042526D">
        <w:t>2 days</w:t>
      </w:r>
      <w:r w:rsidRPr="003B0313">
        <w:t xml:space="preserve"> of the announcement</w:t>
      </w:r>
      <w:r w:rsidR="0042526D">
        <w:t xml:space="preserve"> (April 3-4, 2025)</w:t>
      </w:r>
      <w:r w:rsidRPr="003B0313">
        <w:t>, which is among the largest two-day declines on record before a historic rebound</w:t>
      </w:r>
      <w:r w:rsidR="0042526D">
        <w:t xml:space="preserve"> following the April 9 policy pause</w:t>
      </w:r>
      <w:r w:rsidR="001A754E">
        <w:rPr>
          <w:rStyle w:val="FootnoteReference"/>
        </w:rPr>
        <w:footnoteReference w:id="11"/>
      </w:r>
      <w:r w:rsidR="001A754E">
        <w:t>.</w:t>
      </w:r>
    </w:p>
    <w:p w14:paraId="135914F0" w14:textId="16896656" w:rsidR="009319B4" w:rsidRDefault="009319B4" w:rsidP="009319B4">
      <w:pPr>
        <w:rPr>
          <w:b/>
          <w:bCs/>
        </w:rPr>
      </w:pPr>
      <w:r w:rsidRPr="009319B4">
        <w:rPr>
          <w:b/>
          <w:bCs/>
        </w:rPr>
        <w:t>Fixed Income:</w:t>
      </w:r>
    </w:p>
    <w:p w14:paraId="1326B311" w14:textId="7DFC36FE" w:rsidR="00532B04" w:rsidRPr="00532B04" w:rsidRDefault="00532B04" w:rsidP="009319B4">
      <w:r w:rsidRPr="00532B04">
        <w:t xml:space="preserve">While </w:t>
      </w:r>
      <w:r>
        <w:t>equities sold off, treasury yields rose which highlights an atypical pairing linked to worries over foreign demand for U.S. debt.</w:t>
      </w:r>
    </w:p>
    <w:p w14:paraId="5B84E60C" w14:textId="7B1CAF98" w:rsidR="009319B4" w:rsidRDefault="009319B4" w:rsidP="009319B4">
      <w:pPr>
        <w:rPr>
          <w:b/>
          <w:bCs/>
        </w:rPr>
      </w:pPr>
      <w:r w:rsidRPr="009319B4">
        <w:rPr>
          <w:b/>
          <w:bCs/>
        </w:rPr>
        <w:t xml:space="preserve">FX &amp; Commodities: </w:t>
      </w:r>
    </w:p>
    <w:p w14:paraId="7BF2D8FD" w14:textId="4FE5BDB0" w:rsidR="00532B04" w:rsidRDefault="000F3EF5" w:rsidP="000F3EF5">
      <w:pPr>
        <w:tabs>
          <w:tab w:val="left" w:pos="2235"/>
        </w:tabs>
      </w:pPr>
      <w:r>
        <w:t>A multi-year low for the dollar index came sharp; this indicates a reassessment of how attractive U.S. assets are to investors; gold extended its rise due to safe-haven focuses while energy and industrial commodities declined due to slowing growth globally.</w:t>
      </w:r>
    </w:p>
    <w:p w14:paraId="147A304E" w14:textId="77777777" w:rsidR="009319B4" w:rsidRDefault="009319B4" w:rsidP="009319B4">
      <w:pPr>
        <w:rPr>
          <w:b/>
          <w:bCs/>
        </w:rPr>
      </w:pPr>
      <w:r w:rsidRPr="00CD5626">
        <w:rPr>
          <w:b/>
          <w:bCs/>
        </w:rPr>
        <w:t>Market Structure Observations</w:t>
      </w:r>
    </w:p>
    <w:p w14:paraId="077FD509" w14:textId="4DDE2973" w:rsidR="00C12A77" w:rsidRDefault="000F3EF5" w:rsidP="0011664D">
      <w:r>
        <w:t>Policy attention was quickly indicated when liquidity conditions for treasuries deteriorated enough; this dynamic was increasingly worrying as the market’s most liquid safe haven was reconsidered.</w:t>
      </w:r>
    </w:p>
    <w:p w14:paraId="0249D203" w14:textId="77777777" w:rsidR="00682A2B" w:rsidRDefault="00682A2B" w:rsidP="0011664D"/>
    <w:p w14:paraId="59A4BDD8" w14:textId="7D55C6B5" w:rsidR="00682A2B" w:rsidRDefault="00682A2B" w:rsidP="0011664D">
      <w:pPr>
        <w:rPr>
          <w:b/>
          <w:bCs/>
        </w:rPr>
      </w:pPr>
      <w:r>
        <w:rPr>
          <w:b/>
          <w:bCs/>
        </w:rPr>
        <w:t>Cross-Event Comparison: Volatility &amp; Correlation Regimes (2020-2025)</w:t>
      </w:r>
    </w:p>
    <w:p w14:paraId="4AC2C0BD" w14:textId="77777777" w:rsidR="00270350" w:rsidRPr="00A156CB" w:rsidRDefault="00692B0F" w:rsidP="00A156CB">
      <w:pPr>
        <w:rPr>
          <w:i/>
          <w:iCs/>
        </w:rPr>
      </w:pPr>
      <w:r w:rsidRPr="00692B0F">
        <w:t xml:space="preserve">Managed </w:t>
      </w:r>
      <w:r>
        <w:t>futures indices have shown differentiated behavior across historic volatility regimes examined in this study. Based on the charts below, the magnitude and extent of each of the events are shown. It is fundamental to not only examine just the data, but also the “why” as well as indications we can infer for future events.</w:t>
      </w:r>
      <w:r w:rsidR="00514EE5">
        <w:br/>
      </w:r>
      <w:r w:rsidR="00514EE5" w:rsidRPr="007666F1">
        <w:br/>
      </w:r>
      <w:r w:rsidR="00FA053E" w:rsidRPr="00FA053E">
        <w:rPr>
          <w:noProof/>
        </w:rPr>
        <w:drawing>
          <wp:inline distT="0" distB="0" distL="0" distR="0" wp14:anchorId="5C32559D" wp14:editId="120B4AF2">
            <wp:extent cx="5067739" cy="3093988"/>
            <wp:effectExtent l="0" t="0" r="0" b="0"/>
            <wp:docPr id="452413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413639" name=""/>
                    <pic:cNvPicPr/>
                  </pic:nvPicPr>
                  <pic:blipFill>
                    <a:blip r:embed="rId8"/>
                    <a:stretch>
                      <a:fillRect/>
                    </a:stretch>
                  </pic:blipFill>
                  <pic:spPr>
                    <a:xfrm>
                      <a:off x="0" y="0"/>
                      <a:ext cx="5067739" cy="3093988"/>
                    </a:xfrm>
                    <a:prstGeom prst="rect">
                      <a:avLst/>
                    </a:prstGeom>
                  </pic:spPr>
                </pic:pic>
              </a:graphicData>
            </a:graphic>
          </wp:inline>
        </w:drawing>
      </w:r>
      <w:r w:rsidR="00514EE5">
        <w:br/>
      </w:r>
    </w:p>
    <w:p w14:paraId="2D340D73" w14:textId="0970E30B" w:rsidR="00270350" w:rsidRDefault="00270350" w:rsidP="00270350">
      <w:pPr>
        <w:pStyle w:val="ListParagraph"/>
      </w:pPr>
      <w:r w:rsidRPr="00270350">
        <w:rPr>
          <w:i/>
          <w:iCs/>
        </w:rPr>
        <w:t>*VIX values represent intraday peaks, not daily closing levels.</w:t>
      </w:r>
    </w:p>
    <w:p w14:paraId="625B47F5" w14:textId="40F4C686" w:rsidR="00682A2B" w:rsidRPr="00514EE5" w:rsidRDefault="00514EE5" w:rsidP="0011664D">
      <w:pPr>
        <w:rPr>
          <w:b/>
          <w:bCs/>
        </w:rPr>
      </w:pPr>
      <w:r>
        <w:br/>
      </w:r>
      <w:r>
        <w:rPr>
          <w:b/>
          <w:bCs/>
        </w:rPr>
        <w:t>Understanding the Correlation Data</w:t>
      </w:r>
    </w:p>
    <w:p w14:paraId="344922F2" w14:textId="6CB1E567" w:rsidR="00C12A77" w:rsidRDefault="00AE4C5A" w:rsidP="0011664D">
      <w:r>
        <w:t xml:space="preserve">Correlation, as used throughout this study, measures the degree to which two asset classes move together over a given period indicating how trends affect investment choices. Unless otherwise noted, the correlation </w:t>
      </w:r>
      <w:r w:rsidR="00F35146">
        <w:t>observations</w:t>
      </w:r>
      <w:r>
        <w:t xml:space="preserve"> referenc</w:t>
      </w:r>
      <w:r w:rsidR="00F35146">
        <w:t>e</w:t>
      </w:r>
      <w:r>
        <w:t xml:space="preserve"> daily index returns over each crisis window, using publicly available data.</w:t>
      </w:r>
    </w:p>
    <w:p w14:paraId="7055EBBF" w14:textId="77777777" w:rsidR="007666F1" w:rsidRDefault="00F35146" w:rsidP="00023D3B">
      <w:r>
        <w:t>A common, but significant feature of correlation is that it constantly changes and should not be seen as a fixed constant. It is regime dependent and can shift at any moment with changing economic conditions, policy implements and different market structure climates taking place.</w:t>
      </w:r>
    </w:p>
    <w:p w14:paraId="1DD9781E" w14:textId="6FB43B5A" w:rsidR="003F6FFA" w:rsidRDefault="003E7D04" w:rsidP="00023D3B">
      <w:r>
        <w:br/>
        <w:t xml:space="preserve">The traditional </w:t>
      </w:r>
      <w:r w:rsidR="00200F62">
        <w:t xml:space="preserve">stock-bond portfolio, 60/40, typically is indicated by a negative correlation, where bonds act counterintuitively when stocks rise. As the relationship </w:t>
      </w:r>
      <w:r w:rsidR="00E03222">
        <w:t>has been</w:t>
      </w:r>
      <w:r w:rsidR="00200F62">
        <w:t xml:space="preserve"> consistent for most of the past two decades, this study suggests several times that under direct pressure, this interdependence is not reliable.</w:t>
      </w:r>
    </w:p>
    <w:p w14:paraId="1D67D68D" w14:textId="48632043" w:rsidR="00023D3B" w:rsidRPr="00023D3B" w:rsidRDefault="00023D3B" w:rsidP="00023D3B">
      <w:r w:rsidRPr="00023D3B">
        <w:t>Unless otherwise noted, managed futures exposure throughout this study is represented by the SG Trend Index (Société Générale); U.S. equities are represented by the S&amp;P 500 Total Return Index; and U.S. fixed income is represented by the Bloomberg U.S. Aggregate Bond Index. Correlation figures reflect daily index returns computed over each of the following crisis windows:</w:t>
      </w:r>
    </w:p>
    <w:p w14:paraId="339EB3D1" w14:textId="77777777" w:rsidR="00023D3B" w:rsidRPr="00023D3B" w:rsidRDefault="00023D3B" w:rsidP="00023D3B">
      <w:pPr>
        <w:numPr>
          <w:ilvl w:val="0"/>
          <w:numId w:val="10"/>
        </w:numPr>
      </w:pPr>
      <w:r w:rsidRPr="00023D3B">
        <w:t>2020 COVID-19 Crisis: February 19, 2020 – March 23, 2020</w:t>
      </w:r>
    </w:p>
    <w:p w14:paraId="6A653589" w14:textId="77777777" w:rsidR="00023D3B" w:rsidRPr="00023D3B" w:rsidRDefault="00023D3B" w:rsidP="00023D3B">
      <w:pPr>
        <w:numPr>
          <w:ilvl w:val="0"/>
          <w:numId w:val="10"/>
        </w:numPr>
      </w:pPr>
      <w:r w:rsidRPr="00023D3B">
        <w:t>2022 Rate Shock: January 1, 2022 – December 31, 2022</w:t>
      </w:r>
    </w:p>
    <w:p w14:paraId="47C3B617" w14:textId="77777777" w:rsidR="00023D3B" w:rsidRPr="00023D3B" w:rsidRDefault="00023D3B" w:rsidP="00023D3B">
      <w:pPr>
        <w:numPr>
          <w:ilvl w:val="0"/>
          <w:numId w:val="10"/>
        </w:numPr>
      </w:pPr>
      <w:r w:rsidRPr="00023D3B">
        <w:t>2023 Regional Banking Crisis: March 8, 2023 – March 31, 2023</w:t>
      </w:r>
    </w:p>
    <w:p w14:paraId="3A2D6AB8" w14:textId="77777777" w:rsidR="00023D3B" w:rsidRPr="00023D3B" w:rsidRDefault="00023D3B" w:rsidP="00023D3B">
      <w:pPr>
        <w:numPr>
          <w:ilvl w:val="0"/>
          <w:numId w:val="10"/>
        </w:numPr>
      </w:pPr>
      <w:r w:rsidRPr="00023D3B">
        <w:t>2024 Yen Carry Trade Unwind: July 31, 2024 – August 12, 2024</w:t>
      </w:r>
    </w:p>
    <w:p w14:paraId="7B63F0ED" w14:textId="77777777" w:rsidR="00023D3B" w:rsidRPr="00023D3B" w:rsidRDefault="00023D3B" w:rsidP="00023D3B">
      <w:pPr>
        <w:numPr>
          <w:ilvl w:val="0"/>
          <w:numId w:val="10"/>
        </w:numPr>
      </w:pPr>
      <w:r w:rsidRPr="00023D3B">
        <w:t>2025 Trump Tariffs: April 2, 2025 – April 9, 2025</w:t>
      </w:r>
    </w:p>
    <w:p w14:paraId="306EF793" w14:textId="77777777" w:rsidR="00023D3B" w:rsidRDefault="00023D3B" w:rsidP="0011664D"/>
    <w:p w14:paraId="5626C2E4" w14:textId="37DC39C8" w:rsidR="00373C2A" w:rsidRDefault="00373C2A" w:rsidP="0011664D">
      <w:r>
        <w:rPr>
          <w:b/>
          <w:bCs/>
        </w:rPr>
        <w:t>Two Distinct Correlation Regimes Observed</w:t>
      </w:r>
      <w:r>
        <w:rPr>
          <w:b/>
          <w:bCs/>
        </w:rPr>
        <w:br/>
      </w:r>
      <w:r>
        <w:t>During the course of the study, correlation shifts typically took a couple different forms:</w:t>
      </w:r>
    </w:p>
    <w:p w14:paraId="4A628CA4" w14:textId="6462CE66" w:rsidR="00373C2A" w:rsidRDefault="00373C2A" w:rsidP="00373C2A">
      <w:pPr>
        <w:pStyle w:val="ListParagraph"/>
        <w:numPr>
          <w:ilvl w:val="0"/>
          <w:numId w:val="4"/>
        </w:numPr>
        <w:rPr>
          <w:b/>
          <w:bCs/>
        </w:rPr>
      </w:pPr>
      <w:r>
        <w:rPr>
          <w:b/>
          <w:bCs/>
        </w:rPr>
        <w:t>Structural Repricing Regimes:</w:t>
      </w:r>
    </w:p>
    <w:p w14:paraId="1A701496" w14:textId="58667825" w:rsidR="00373C2A" w:rsidRDefault="00373C2A" w:rsidP="00373C2A">
      <w:pPr>
        <w:pStyle w:val="ListParagraph"/>
      </w:pPr>
      <w:r>
        <w:t xml:space="preserve">Months-long shifts driven by macro transitions. In 2022, we can see the most transparent example: nagging inflation and aggressive rate-hiking. This caused equities and rates to flip their negative correlation and decline together for most </w:t>
      </w:r>
      <w:r w:rsidR="00DC0567">
        <w:t xml:space="preserve">of the year. </w:t>
      </w:r>
    </w:p>
    <w:p w14:paraId="46BBB7B1" w14:textId="77777777" w:rsidR="00DC0567" w:rsidRDefault="00DC0567" w:rsidP="00373C2A">
      <w:pPr>
        <w:pStyle w:val="ListParagraph"/>
      </w:pPr>
    </w:p>
    <w:p w14:paraId="7BFDA4A4" w14:textId="1468716D" w:rsidR="00DC0567" w:rsidRDefault="00DC0567" w:rsidP="00373C2A">
      <w:pPr>
        <w:pStyle w:val="ListParagraph"/>
      </w:pPr>
      <w:r>
        <w:t>2025 exhibited similar behavior but in a distinct pattern: equities, the dollar, and Treasuries moved together for a period (a pairing explained by a simple rate story alone).</w:t>
      </w:r>
    </w:p>
    <w:p w14:paraId="34B5E4B2" w14:textId="77777777" w:rsidR="00DC0567" w:rsidRDefault="00DC0567" w:rsidP="00373C2A">
      <w:pPr>
        <w:pStyle w:val="ListParagraph"/>
      </w:pPr>
    </w:p>
    <w:p w14:paraId="1D2AE80F" w14:textId="0D41ED66" w:rsidR="00DC0567" w:rsidRDefault="00DC0567" w:rsidP="00DC0567">
      <w:pPr>
        <w:pStyle w:val="ListParagraph"/>
        <w:numPr>
          <w:ilvl w:val="0"/>
          <w:numId w:val="4"/>
        </w:numPr>
        <w:rPr>
          <w:b/>
          <w:bCs/>
        </w:rPr>
      </w:pPr>
      <w:r>
        <w:rPr>
          <w:b/>
          <w:bCs/>
        </w:rPr>
        <w:t>Liquidity-Driven Deleveraging Spikes:</w:t>
      </w:r>
    </w:p>
    <w:p w14:paraId="1F0599F3" w14:textId="77777777" w:rsidR="00C232D2" w:rsidRDefault="00DC0567" w:rsidP="00DC0567">
      <w:pPr>
        <w:pStyle w:val="ListParagraph"/>
      </w:pPr>
      <w:r>
        <w:t>Quick, abrupt intervals, usually lasting days rather than months, where correlations among unrelated assets spike towards 1.0 as forced selling and margin calls hit all assets simultaneously, irrespective of underlying fundamentals. The early days of the 2020 shock and the August 2024 carry-trade unravel both fit this pattern</w:t>
      </w:r>
      <w:r w:rsidR="00C37B02">
        <w:t>; in each case, correlations normalized comparatively swiftly once liquidity returned and forced selling was digested.</w:t>
      </w:r>
      <w:r w:rsidR="00C232D2">
        <w:t xml:space="preserve"> </w:t>
      </w:r>
    </w:p>
    <w:p w14:paraId="6B8F5D70" w14:textId="77777777" w:rsidR="00C232D2" w:rsidRDefault="00C232D2" w:rsidP="00DC0567">
      <w:pPr>
        <w:pStyle w:val="ListParagraph"/>
      </w:pPr>
    </w:p>
    <w:p w14:paraId="2BD712BB" w14:textId="77FE2E6B" w:rsidR="00C232D2" w:rsidRDefault="00C232D2" w:rsidP="00DC0567">
      <w:pPr>
        <w:pStyle w:val="ListParagraph"/>
      </w:pPr>
      <w:r>
        <w:t xml:space="preserve">Differentiating between two different </w:t>
      </w:r>
      <w:r w:rsidR="00BD7C32">
        <w:t>environment</w:t>
      </w:r>
      <w:r>
        <w:t xml:space="preserve"> </w:t>
      </w:r>
      <w:r w:rsidR="00BD7C32">
        <w:t>types</w:t>
      </w:r>
      <w:r>
        <w:t xml:space="preserve"> </w:t>
      </w:r>
      <w:r w:rsidR="004D329A">
        <w:t xml:space="preserve">can </w:t>
      </w:r>
      <w:r>
        <w:t>influence</w:t>
      </w:r>
      <w:r w:rsidR="004D329A">
        <w:t xml:space="preserve"> </w:t>
      </w:r>
      <w:r w:rsidR="00874CC2">
        <w:t>allocators’</w:t>
      </w:r>
      <w:r>
        <w:t xml:space="preserve"> </w:t>
      </w:r>
      <w:r w:rsidR="00936BC5">
        <w:t>decisions</w:t>
      </w:r>
      <w:r>
        <w:t>: a fundamental revaluation climate tends to endure and may demand a sustained reassessment of portfolio construction assumptions, while a liquidity-driven surge is often mean-reverting and may retract without any underlying regime transitions.</w:t>
      </w:r>
    </w:p>
    <w:p w14:paraId="74437007" w14:textId="7F8208DD" w:rsidR="004D329A" w:rsidRDefault="004D329A" w:rsidP="00DC0567">
      <w:pPr>
        <w:pStyle w:val="ListParagraph"/>
      </w:pPr>
      <w:r w:rsidRPr="004D329A">
        <w:rPr>
          <w:noProof/>
        </w:rPr>
        <w:drawing>
          <wp:inline distT="0" distB="0" distL="0" distR="0" wp14:anchorId="3A9B1420" wp14:editId="6A5FE39E">
            <wp:extent cx="5197290" cy="3139712"/>
            <wp:effectExtent l="0" t="0" r="3810" b="3810"/>
            <wp:docPr id="248201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201967" name=""/>
                    <pic:cNvPicPr/>
                  </pic:nvPicPr>
                  <pic:blipFill>
                    <a:blip r:embed="rId9"/>
                    <a:stretch>
                      <a:fillRect/>
                    </a:stretch>
                  </pic:blipFill>
                  <pic:spPr>
                    <a:xfrm>
                      <a:off x="0" y="0"/>
                      <a:ext cx="5197290" cy="3139712"/>
                    </a:xfrm>
                    <a:prstGeom prst="rect">
                      <a:avLst/>
                    </a:prstGeom>
                  </pic:spPr>
                </pic:pic>
              </a:graphicData>
            </a:graphic>
          </wp:inline>
        </w:drawing>
      </w:r>
    </w:p>
    <w:p w14:paraId="3EA101E5" w14:textId="77777777" w:rsidR="003F6FFA" w:rsidRDefault="003F6FFA" w:rsidP="003F6FFA">
      <w:pPr>
        <w:pStyle w:val="ListParagraph"/>
        <w:rPr>
          <w:i/>
          <w:iCs/>
        </w:rPr>
      </w:pPr>
      <w:r w:rsidRPr="003F6FFA">
        <w:rPr>
          <w:i/>
          <w:iCs/>
        </w:rPr>
        <w:t>Figure 2: Summary of correlation regime and illustrative managed futures positioning by event. Source: CBOE historical data and publicly available market data. For illustrative purposes only.</w:t>
      </w:r>
    </w:p>
    <w:p w14:paraId="01363E7B" w14:textId="77777777" w:rsidR="00270350" w:rsidRDefault="00270350" w:rsidP="003F6FFA">
      <w:pPr>
        <w:pStyle w:val="ListParagraph"/>
        <w:rPr>
          <w:i/>
          <w:iCs/>
        </w:rPr>
      </w:pPr>
    </w:p>
    <w:p w14:paraId="67C7D1C6" w14:textId="152254A0" w:rsidR="00C232D2" w:rsidRDefault="00270350" w:rsidP="00DC0567">
      <w:pPr>
        <w:pStyle w:val="ListParagraph"/>
      </w:pPr>
      <w:r w:rsidRPr="00270350">
        <w:rPr>
          <w:i/>
          <w:iCs/>
        </w:rPr>
        <w:t>*VIX values represent intraday peaks, not daily closing levels.</w:t>
      </w:r>
    </w:p>
    <w:p w14:paraId="3828365B" w14:textId="77777777" w:rsidR="00E83B89" w:rsidRDefault="00E83B89" w:rsidP="00C232D2">
      <w:pPr>
        <w:rPr>
          <w:b/>
          <w:bCs/>
        </w:rPr>
      </w:pPr>
    </w:p>
    <w:p w14:paraId="7406403F" w14:textId="07E004E3" w:rsidR="00C232D2" w:rsidRDefault="00C232D2" w:rsidP="00C232D2">
      <w:pPr>
        <w:rPr>
          <w:b/>
          <w:bCs/>
        </w:rPr>
      </w:pPr>
      <w:r w:rsidRPr="00C232D2">
        <w:rPr>
          <w:b/>
          <w:bCs/>
        </w:rPr>
        <w:t>Where Managed Futures Fit</w:t>
      </w:r>
    </w:p>
    <w:p w14:paraId="08E86235" w14:textId="7C5FCF2A" w:rsidR="00AD2D90" w:rsidRDefault="000D719F" w:rsidP="00C232D2">
      <w:r w:rsidRPr="000D719F">
        <w:t>Historically, managed futures</w:t>
      </w:r>
      <w:r>
        <w:t xml:space="preserve"> indices have shown decoupled performance behavior relative to both market environments described above, largely a function of the asset class’s capabilities to take both long and short positions across equities, fixed income, currencies, and commodities opposed to being inherently directional</w:t>
      </w:r>
      <w:r w:rsidR="001A754E">
        <w:rPr>
          <w:rStyle w:val="FootnoteReference"/>
        </w:rPr>
        <w:footnoteReference w:id="12"/>
      </w:r>
      <w:r>
        <w:t xml:space="preserve">. In </w:t>
      </w:r>
      <w:r w:rsidR="00CD499B">
        <w:t>the 2022</w:t>
      </w:r>
      <w:r>
        <w:t xml:space="preserve"> macro-driven repricing cycle, managed futures indices maintained a low-to-negative correlation</w:t>
      </w:r>
      <w:r w:rsidR="00BE2FE0">
        <w:t xml:space="preserve"> to both stocks and bonds even as those two asset classes moved in tandem</w:t>
      </w:r>
      <w:r w:rsidR="00BD7C32">
        <w:t xml:space="preserve"> (primarily driven by algorithmic frameworks ability to position short duration as rates increased. During liquidity shocks of 2020 and August 2024, the scene was more scrambled in the immediate horizon</w:t>
      </w:r>
      <w:r w:rsidR="001731A7">
        <w:t>, as quick trend reversals tested risk models, though academic research on the asset class points to milder average historical losses compared to global equities across macro disruptions.</w:t>
      </w:r>
    </w:p>
    <w:p w14:paraId="2E4843AF" w14:textId="477186A0" w:rsidR="00AD2D90" w:rsidRDefault="00AD2D90" w:rsidP="00C232D2">
      <w:pPr>
        <w:rPr>
          <w:b/>
          <w:bCs/>
        </w:rPr>
      </w:pPr>
      <w:r>
        <w:rPr>
          <w:b/>
          <w:bCs/>
        </w:rPr>
        <w:t>Limitations of This Analysis</w:t>
      </w:r>
    </w:p>
    <w:p w14:paraId="0A9509D4" w14:textId="12A6BE18" w:rsidR="00D65A6E" w:rsidRPr="00AE10EA" w:rsidRDefault="00AD2D90" w:rsidP="0011664D">
      <w:r>
        <w:t>Correlation is, retrospectively, a quantitative metric computed over a specific window and lacks predictive power of how the same assets will perform in a subsequent market shock. Index-level correlation figures such as those referenced in this study may not capture the true empirical relationship of any given manager, fund, or strategy. For illustrative purposes only: historical correlation movements across any of the five discussed macro regimes offers no guarantee of how correlations will react in future market environments.</w:t>
      </w:r>
    </w:p>
    <w:p w14:paraId="1EC01F99" w14:textId="77777777" w:rsidR="00B303EF" w:rsidRPr="00367A21" w:rsidRDefault="00B303EF" w:rsidP="00B303EF">
      <w:pPr>
        <w:pStyle w:val="NoSpacing"/>
        <w:rPr>
          <w:b/>
          <w:bCs/>
        </w:rPr>
      </w:pPr>
      <w:r w:rsidRPr="00367A21">
        <w:rPr>
          <w:b/>
          <w:bCs/>
        </w:rPr>
        <w:t xml:space="preserve">Systematic Strategy Considerations </w:t>
      </w:r>
    </w:p>
    <w:p w14:paraId="4B88FC09" w14:textId="77777777" w:rsidR="00B303EF" w:rsidRDefault="00B303EF" w:rsidP="00B303EF">
      <w:pPr>
        <w:pStyle w:val="NoSpacing"/>
      </w:pPr>
    </w:p>
    <w:p w14:paraId="6139BBBC" w14:textId="77777777" w:rsidR="00B303EF" w:rsidRDefault="00B303EF" w:rsidP="00B303EF">
      <w:pPr>
        <w:pStyle w:val="NoSpacing"/>
      </w:pPr>
      <w:r>
        <w:t>In similar environments, some systematic strategies may respond to sustained directional moves.</w:t>
      </w:r>
    </w:p>
    <w:p w14:paraId="7EE40CA9" w14:textId="77777777" w:rsidR="00B303EF" w:rsidRDefault="00B303EF" w:rsidP="00B303EF">
      <w:pPr>
        <w:pStyle w:val="NoSpacing"/>
      </w:pPr>
    </w:p>
    <w:p w14:paraId="0DC6A8C8" w14:textId="77777777" w:rsidR="00B303EF" w:rsidRDefault="00B303EF" w:rsidP="00B303EF">
      <w:pPr>
        <w:pStyle w:val="NoSpacing"/>
      </w:pPr>
      <w:r>
        <w:t>Elevated volatility can impact both directional and non-directional approaches.</w:t>
      </w:r>
    </w:p>
    <w:p w14:paraId="375E952D" w14:textId="77777777" w:rsidR="00B43C28" w:rsidRDefault="00B43C28" w:rsidP="00B303EF">
      <w:pPr>
        <w:pStyle w:val="NoSpacing"/>
      </w:pPr>
    </w:p>
    <w:p w14:paraId="1945BE06" w14:textId="12CC0167" w:rsidR="00B303EF" w:rsidRDefault="00B303EF" w:rsidP="00B303EF">
      <w:pPr>
        <w:pStyle w:val="NoSpacing"/>
      </w:pPr>
      <w:r>
        <w:t>Correlations between strategies may increase during periods of stress.</w:t>
      </w:r>
    </w:p>
    <w:p w14:paraId="2397BCF4" w14:textId="77777777" w:rsidR="00B303EF" w:rsidRDefault="00B303EF" w:rsidP="00B303EF">
      <w:pPr>
        <w:pStyle w:val="NoSpacing"/>
      </w:pPr>
    </w:p>
    <w:p w14:paraId="0F38AF24" w14:textId="77777777" w:rsidR="00B303EF" w:rsidRDefault="00B303EF" w:rsidP="00B303EF">
      <w:pPr>
        <w:pStyle w:val="NoSpacing"/>
      </w:pPr>
      <w:r>
        <w:t>Risk management frameworks must be dynamic enough to adjust leverage during sudden spikes. Furthermore, these strategies must account for the liquidity profiles of the specific assets they trade, as market impact can significantly alter the edge of a systematic strategy.</w:t>
      </w:r>
    </w:p>
    <w:p w14:paraId="368BDB3F" w14:textId="77777777" w:rsidR="0011664D" w:rsidRDefault="0011664D" w:rsidP="0000329A">
      <w:pPr>
        <w:tabs>
          <w:tab w:val="left" w:pos="2948"/>
        </w:tabs>
      </w:pPr>
    </w:p>
    <w:p w14:paraId="23511602" w14:textId="3189B1F1" w:rsidR="0000329A" w:rsidRDefault="0011664D" w:rsidP="0000329A">
      <w:pPr>
        <w:tabs>
          <w:tab w:val="left" w:pos="2948"/>
        </w:tabs>
        <w:rPr>
          <w:b/>
          <w:bCs/>
        </w:rPr>
      </w:pPr>
      <w:r w:rsidRPr="0011664D">
        <w:rPr>
          <w:b/>
          <w:bCs/>
        </w:rPr>
        <w:t>Conclusion</w:t>
      </w:r>
      <w:r w:rsidR="0000329A" w:rsidRPr="0011664D">
        <w:rPr>
          <w:b/>
          <w:bCs/>
        </w:rPr>
        <w:tab/>
      </w:r>
    </w:p>
    <w:p w14:paraId="725C9945" w14:textId="77777777" w:rsidR="0011664D" w:rsidRDefault="0011664D" w:rsidP="0011664D">
      <w:pPr>
        <w:pStyle w:val="NoSpacing"/>
      </w:pPr>
      <w:r w:rsidRPr="00002F48">
        <w:t xml:space="preserve">Global </w:t>
      </w:r>
      <w:r>
        <w:t>meltdowns demonstrate the speed of changing regimes under intense macro stress. These environments highlight the importance of understanding volatility dynamics, liquidity conditions, and evolving correlations across asset classes.</w:t>
      </w:r>
    </w:p>
    <w:p w14:paraId="1C6D8301" w14:textId="77777777" w:rsidR="00E81D71" w:rsidRDefault="00E81D71" w:rsidP="0011664D">
      <w:pPr>
        <w:pStyle w:val="NoSpacing"/>
      </w:pPr>
    </w:p>
    <w:p w14:paraId="403C5437" w14:textId="24EC3A8F" w:rsidR="00E81D71" w:rsidRDefault="00E81D71" w:rsidP="0011664D">
      <w:pPr>
        <w:pStyle w:val="NoSpacing"/>
      </w:pPr>
      <w:r>
        <w:t>Taken together, the five regimes examined direct to a uniform distinction: structural revaluation frameworks tend to sustain and redefine correlation premises for months at a time, while liquidity-driven spikes are typically quick and normalize once forced selling clears.</w:t>
      </w:r>
      <w:r>
        <w:br/>
      </w:r>
      <w:r>
        <w:br/>
        <w:t>Based on publicly available index data, managed futures’ differentiated behavior across both market types originates from the capacity to allocate long or short rather than being tied to an isolated asset category.</w:t>
      </w:r>
      <w:r>
        <w:br/>
      </w:r>
      <w:r>
        <w:br/>
        <w:t>Allocators may wish</w:t>
      </w:r>
      <w:r w:rsidR="00B43213">
        <w:t xml:space="preserve"> to assess how a macroeconomic backdrop (structural vs. liquidity-driven) is likely to inform capital allocation strategy expectations going forward, acknowledging the past correlation behavior is not indicative of future results.</w:t>
      </w:r>
    </w:p>
    <w:p w14:paraId="0288C25A" w14:textId="77777777" w:rsidR="005127DE" w:rsidRDefault="005127DE" w:rsidP="005127DE">
      <w:pPr>
        <w:pBdr>
          <w:bottom w:val="single" w:sz="4" w:space="1" w:color="auto"/>
        </w:pBdr>
        <w:tabs>
          <w:tab w:val="left" w:pos="2948"/>
        </w:tabs>
        <w:rPr>
          <w:b/>
          <w:bCs/>
        </w:rPr>
      </w:pPr>
    </w:p>
    <w:p w14:paraId="60298C76" w14:textId="77777777" w:rsidR="004745AA" w:rsidRPr="004745AA" w:rsidRDefault="004745AA" w:rsidP="004745AA">
      <w:pPr>
        <w:tabs>
          <w:tab w:val="left" w:pos="2948"/>
        </w:tabs>
        <w:rPr>
          <w:b/>
          <w:bCs/>
        </w:rPr>
      </w:pPr>
      <w:r w:rsidRPr="004745AA">
        <w:rPr>
          <w:b/>
          <w:bCs/>
        </w:rPr>
        <w:t>Managed Futures Benchmarks Referenced</w:t>
      </w:r>
    </w:p>
    <w:p w14:paraId="34FE842D" w14:textId="77777777" w:rsidR="004745AA" w:rsidRPr="004745AA" w:rsidRDefault="004745AA" w:rsidP="004745AA">
      <w:pPr>
        <w:tabs>
          <w:tab w:val="left" w:pos="2948"/>
        </w:tabs>
      </w:pPr>
      <w:r w:rsidRPr="004745AA">
        <w:t>Directional characterizations of managed futures / CTA performance in this note are informed by publicly reported performance patterns of industry-standard benchmarks, including:</w:t>
      </w:r>
    </w:p>
    <w:p w14:paraId="23218F1C" w14:textId="77777777" w:rsidR="004745AA" w:rsidRPr="004745AA" w:rsidRDefault="004745AA" w:rsidP="004745AA">
      <w:pPr>
        <w:numPr>
          <w:ilvl w:val="0"/>
          <w:numId w:val="12"/>
        </w:numPr>
        <w:tabs>
          <w:tab w:val="left" w:pos="2948"/>
        </w:tabs>
      </w:pPr>
      <w:r w:rsidRPr="004745AA">
        <w:t>Société Générale (SG) Trend Index — a trend-following CTA benchmark maintained by Société Générale.</w:t>
      </w:r>
    </w:p>
    <w:p w14:paraId="597BFA10" w14:textId="77777777" w:rsidR="004745AA" w:rsidRPr="004745AA" w:rsidRDefault="004745AA" w:rsidP="004745AA">
      <w:pPr>
        <w:numPr>
          <w:ilvl w:val="0"/>
          <w:numId w:val="12"/>
        </w:numPr>
        <w:tabs>
          <w:tab w:val="left" w:pos="2948"/>
        </w:tabs>
      </w:pPr>
      <w:r w:rsidRPr="004745AA">
        <w:t>Société Générale (SG) CTA Index — a broader benchmark of major commodity trading advisors maintained by Société Générale.</w:t>
      </w:r>
    </w:p>
    <w:p w14:paraId="0435304D" w14:textId="77777777" w:rsidR="004745AA" w:rsidRPr="004745AA" w:rsidRDefault="004745AA" w:rsidP="004745AA">
      <w:pPr>
        <w:numPr>
          <w:ilvl w:val="0"/>
          <w:numId w:val="12"/>
        </w:numPr>
        <w:tabs>
          <w:tab w:val="left" w:pos="2948"/>
        </w:tabs>
      </w:pPr>
      <w:r w:rsidRPr="004745AA">
        <w:t>BarclayHedge BTOP50 Index — designed to replicate the overall composition of the managed futures industry by trading style and market exposure, maintained by BarclayHedge / ION Analytics.</w:t>
      </w:r>
    </w:p>
    <w:p w14:paraId="378F8C60" w14:textId="3D8E861A" w:rsidR="007666F1" w:rsidRPr="00E83B89" w:rsidRDefault="004745AA" w:rsidP="0000329A">
      <w:pPr>
        <w:numPr>
          <w:ilvl w:val="0"/>
          <w:numId w:val="12"/>
        </w:numPr>
        <w:tabs>
          <w:tab w:val="left" w:pos="2948"/>
        </w:tabs>
      </w:pPr>
      <w:r w:rsidRPr="004745AA">
        <w:t>Barclay CTA Index — a broad industry benchmark of commodity trading advisor performance, maintained by BarclayHedge / ION Analytics.</w:t>
      </w:r>
    </w:p>
    <w:p w14:paraId="4C2D8488" w14:textId="6EA47E56" w:rsidR="004745AA" w:rsidRPr="004745AA" w:rsidRDefault="004745AA" w:rsidP="0000329A">
      <w:pPr>
        <w:tabs>
          <w:tab w:val="left" w:pos="2948"/>
        </w:tabs>
        <w:rPr>
          <w:b/>
          <w:bCs/>
        </w:rPr>
      </w:pPr>
      <w:r w:rsidRPr="004745AA">
        <w:rPr>
          <w:b/>
          <w:bCs/>
        </w:rPr>
        <w:t>Data Sources</w:t>
      </w:r>
    </w:p>
    <w:p w14:paraId="2651B321" w14:textId="5DC97963" w:rsidR="007666F1" w:rsidRPr="007666F1" w:rsidRDefault="007666F1" w:rsidP="007666F1">
      <w:pPr>
        <w:pStyle w:val="ListParagraph"/>
        <w:numPr>
          <w:ilvl w:val="0"/>
          <w:numId w:val="14"/>
        </w:numPr>
        <w:tabs>
          <w:tab w:val="left" w:pos="2948"/>
        </w:tabs>
      </w:pPr>
      <w:r w:rsidRPr="007666F1">
        <w:rPr>
          <w:b/>
          <w:bCs/>
        </w:rPr>
        <w:t>CBOE VIX Historical Data</w:t>
      </w:r>
      <w:r w:rsidRPr="007666F1">
        <w:t xml:space="preserve">: Chicago Board Options Exchange (CBOE) publicly available historical data for spot VIX intraday peaks, daily closing levels, and VIX futures pricing (2020–2025). </w:t>
      </w:r>
    </w:p>
    <w:p w14:paraId="2751BD40" w14:textId="49FEB15D" w:rsidR="007666F1" w:rsidRPr="007666F1" w:rsidRDefault="007666F1" w:rsidP="007666F1">
      <w:pPr>
        <w:pStyle w:val="ListParagraph"/>
        <w:numPr>
          <w:ilvl w:val="0"/>
          <w:numId w:val="14"/>
        </w:numPr>
        <w:tabs>
          <w:tab w:val="left" w:pos="2948"/>
        </w:tabs>
      </w:pPr>
      <w:r w:rsidRPr="007666F1">
        <w:rPr>
          <w:b/>
          <w:bCs/>
        </w:rPr>
        <w:t>Société Générale (SG) Trend Index</w:t>
      </w:r>
      <w:r w:rsidRPr="007666F1">
        <w:t xml:space="preserve">: Société Générale; primary benchmark tracking the net daily performance of large trend-following CTAs. </w:t>
      </w:r>
    </w:p>
    <w:p w14:paraId="05D605F0" w14:textId="764B7105" w:rsidR="007666F1" w:rsidRPr="007666F1" w:rsidRDefault="007666F1" w:rsidP="007666F1">
      <w:pPr>
        <w:pStyle w:val="ListParagraph"/>
        <w:numPr>
          <w:ilvl w:val="0"/>
          <w:numId w:val="14"/>
        </w:numPr>
        <w:tabs>
          <w:tab w:val="left" w:pos="2948"/>
        </w:tabs>
      </w:pPr>
      <w:r w:rsidRPr="007666F1">
        <w:rPr>
          <w:b/>
          <w:bCs/>
        </w:rPr>
        <w:t>Société Générale (SG) CTA Index</w:t>
      </w:r>
      <w:r w:rsidRPr="007666F1">
        <w:t xml:space="preserve">: Société Générale; broad industry index calculating daily net performance across major commodity trading advisors regardless of sub-strategy. </w:t>
      </w:r>
    </w:p>
    <w:p w14:paraId="7EAE78D0" w14:textId="4F3C2FDB" w:rsidR="007666F1" w:rsidRPr="007666F1" w:rsidRDefault="007666F1" w:rsidP="007666F1">
      <w:pPr>
        <w:pStyle w:val="ListParagraph"/>
        <w:numPr>
          <w:ilvl w:val="0"/>
          <w:numId w:val="14"/>
        </w:numPr>
        <w:tabs>
          <w:tab w:val="left" w:pos="2948"/>
        </w:tabs>
      </w:pPr>
      <w:r w:rsidRPr="007666F1">
        <w:rPr>
          <w:b/>
          <w:bCs/>
        </w:rPr>
        <w:t>S&amp;P 500 Total Return Index</w:t>
      </w:r>
      <w:r w:rsidRPr="007666F1">
        <w:t xml:space="preserve">: S&amp;P Dow Jones Indices; proxy for U.S. large-cap equity market performance, inclusive of dividend reinvestment. </w:t>
      </w:r>
    </w:p>
    <w:p w14:paraId="065DBF59" w14:textId="2D9F0918" w:rsidR="007666F1" w:rsidRPr="007666F1" w:rsidRDefault="007666F1" w:rsidP="007666F1">
      <w:pPr>
        <w:pStyle w:val="ListParagraph"/>
        <w:numPr>
          <w:ilvl w:val="0"/>
          <w:numId w:val="14"/>
        </w:numPr>
        <w:tabs>
          <w:tab w:val="left" w:pos="2948"/>
        </w:tabs>
      </w:pPr>
      <w:r w:rsidRPr="007666F1">
        <w:rPr>
          <w:b/>
          <w:bCs/>
        </w:rPr>
        <w:t>Bloomberg U.S. Aggregate Bond Index</w:t>
      </w:r>
      <w:r w:rsidRPr="007666F1">
        <w:t xml:space="preserve">: Bloomberg Index Services Limited; proxy for U.S. investment-grade, taxable fixed-income market performance. </w:t>
      </w:r>
    </w:p>
    <w:p w14:paraId="55826F81" w14:textId="2E4F7CEB" w:rsidR="007666F1" w:rsidRPr="007666F1" w:rsidRDefault="007666F1" w:rsidP="007666F1">
      <w:pPr>
        <w:pStyle w:val="ListParagraph"/>
        <w:numPr>
          <w:ilvl w:val="0"/>
          <w:numId w:val="14"/>
        </w:numPr>
        <w:tabs>
          <w:tab w:val="left" w:pos="2948"/>
        </w:tabs>
      </w:pPr>
      <w:r w:rsidRPr="007666F1">
        <w:rPr>
          <w:b/>
          <w:bCs/>
        </w:rPr>
        <w:t>BarclayHedge BTOP50 Index</w:t>
      </w:r>
      <w:r w:rsidRPr="007666F1">
        <w:t xml:space="preserve">: BarclayHedge / ION Analytics; replicates the overall composition of the managed futures industry by trading style and market exposure. </w:t>
      </w:r>
    </w:p>
    <w:p w14:paraId="07FC8E38" w14:textId="4A6CD84F" w:rsidR="007666F1" w:rsidRPr="007666F1" w:rsidRDefault="007666F1" w:rsidP="007666F1">
      <w:pPr>
        <w:pStyle w:val="ListParagraph"/>
        <w:numPr>
          <w:ilvl w:val="0"/>
          <w:numId w:val="14"/>
        </w:numPr>
        <w:tabs>
          <w:tab w:val="left" w:pos="2948"/>
        </w:tabs>
      </w:pPr>
      <w:r w:rsidRPr="007666F1">
        <w:rPr>
          <w:b/>
          <w:bCs/>
        </w:rPr>
        <w:t>Barclay CTA Index</w:t>
      </w:r>
      <w:r w:rsidRPr="007666F1">
        <w:t xml:space="preserve">: BarclayHedge / ION Analytics; equal-weighted benchmark measuring performance of active commodity trading advisors. </w:t>
      </w:r>
    </w:p>
    <w:p w14:paraId="7EE8B276" w14:textId="72E62FF5" w:rsidR="007666F1" w:rsidRPr="007666F1" w:rsidRDefault="007666F1" w:rsidP="007666F1">
      <w:pPr>
        <w:pStyle w:val="ListParagraph"/>
        <w:numPr>
          <w:ilvl w:val="0"/>
          <w:numId w:val="14"/>
        </w:numPr>
        <w:tabs>
          <w:tab w:val="left" w:pos="2948"/>
        </w:tabs>
      </w:pPr>
      <w:r w:rsidRPr="007666F1">
        <w:rPr>
          <w:b/>
          <w:bCs/>
        </w:rPr>
        <w:t>U.S. Dollar Index (DXY)</w:t>
      </w:r>
      <w:r w:rsidRPr="007666F1">
        <w:t xml:space="preserve">: Intercontinental Exchange (ICE); historical pricing tracking the performance of the U.S. dollar against a basket of foreign currencies. </w:t>
      </w:r>
    </w:p>
    <w:p w14:paraId="40135AF1" w14:textId="53148AA6" w:rsidR="007666F1" w:rsidRPr="007666F1" w:rsidRDefault="007666F1" w:rsidP="007666F1">
      <w:pPr>
        <w:pStyle w:val="ListParagraph"/>
        <w:numPr>
          <w:ilvl w:val="0"/>
          <w:numId w:val="14"/>
        </w:numPr>
        <w:tabs>
          <w:tab w:val="left" w:pos="2948"/>
        </w:tabs>
      </w:pPr>
      <w:r w:rsidRPr="007666F1">
        <w:rPr>
          <w:b/>
          <w:bCs/>
        </w:rPr>
        <w:t>Federal Reserve Economic Data (FRED)</w:t>
      </w:r>
      <w:r w:rsidRPr="007666F1">
        <w:t xml:space="preserve">: Federal Reserve Bank of St. Louis; historical U.S. Treasury yields, yield curve dynamics, and interest rate target ranges. </w:t>
      </w:r>
    </w:p>
    <w:p w14:paraId="4194B5FA" w14:textId="06511EEA" w:rsidR="007666F1" w:rsidRPr="007666F1" w:rsidRDefault="007666F1" w:rsidP="007666F1">
      <w:pPr>
        <w:pStyle w:val="ListParagraph"/>
        <w:numPr>
          <w:ilvl w:val="0"/>
          <w:numId w:val="14"/>
        </w:numPr>
        <w:tabs>
          <w:tab w:val="left" w:pos="2948"/>
        </w:tabs>
      </w:pPr>
      <w:r w:rsidRPr="007666F1">
        <w:rPr>
          <w:b/>
          <w:bCs/>
        </w:rPr>
        <w:t>U.S. Bureau of Labor Statistics (BLS)</w:t>
      </w:r>
      <w:r w:rsidRPr="007666F1">
        <w:t xml:space="preserve">: Historical Consumer Price Index (CPI) inflation rates and monthly nonfarm payroll employment releases. </w:t>
      </w:r>
    </w:p>
    <w:p w14:paraId="01161D47" w14:textId="742ABF63" w:rsidR="007666F1" w:rsidRPr="007666F1" w:rsidRDefault="007666F1" w:rsidP="007666F1">
      <w:pPr>
        <w:pStyle w:val="ListParagraph"/>
        <w:numPr>
          <w:ilvl w:val="0"/>
          <w:numId w:val="14"/>
        </w:numPr>
        <w:tabs>
          <w:tab w:val="left" w:pos="2948"/>
        </w:tabs>
      </w:pPr>
      <w:r w:rsidRPr="007666F1">
        <w:rPr>
          <w:b/>
          <w:bCs/>
        </w:rPr>
        <w:t>U.S. Energy Information Administration (EIA) / NYMEX</w:t>
      </w:r>
      <w:r w:rsidRPr="007666F1">
        <w:t xml:space="preserve">: Historical benchmark pricing and daily settlement data for WTI Crude Oil and energy futures markets. </w:t>
      </w:r>
    </w:p>
    <w:p w14:paraId="486DDE05" w14:textId="1DF3331D" w:rsidR="007666F1" w:rsidRPr="007666F1" w:rsidRDefault="007666F1" w:rsidP="007666F1">
      <w:pPr>
        <w:pStyle w:val="ListParagraph"/>
        <w:numPr>
          <w:ilvl w:val="0"/>
          <w:numId w:val="14"/>
        </w:numPr>
        <w:tabs>
          <w:tab w:val="left" w:pos="2948"/>
        </w:tabs>
      </w:pPr>
      <w:r w:rsidRPr="007666F1">
        <w:rPr>
          <w:b/>
          <w:bCs/>
        </w:rPr>
        <w:t>Bank of Japan (BoJ) Monetary Policy Releases</w:t>
      </w:r>
      <w:r w:rsidRPr="007666F1">
        <w:t xml:space="preserve">: Official policy announcements, target rate decisions, and foreign exchange intervention records. </w:t>
      </w:r>
    </w:p>
    <w:p w14:paraId="59F44FC0" w14:textId="77777777" w:rsidR="00504AFE" w:rsidRDefault="00504AFE" w:rsidP="00504AFE">
      <w:pPr>
        <w:pBdr>
          <w:bottom w:val="single" w:sz="4" w:space="1" w:color="auto"/>
        </w:pBdr>
        <w:tabs>
          <w:tab w:val="left" w:pos="2948"/>
        </w:tabs>
      </w:pPr>
    </w:p>
    <w:p w14:paraId="091223AE" w14:textId="77777777" w:rsidR="007666F1" w:rsidRDefault="007666F1" w:rsidP="00504AFE">
      <w:pPr>
        <w:pBdr>
          <w:bottom w:val="single" w:sz="4" w:space="1" w:color="auto"/>
        </w:pBdr>
        <w:tabs>
          <w:tab w:val="left" w:pos="2948"/>
        </w:tabs>
      </w:pPr>
    </w:p>
    <w:p w14:paraId="589067CD" w14:textId="77777777" w:rsidR="007666F1" w:rsidRDefault="007666F1" w:rsidP="00504AFE">
      <w:pPr>
        <w:pBdr>
          <w:bottom w:val="single" w:sz="4" w:space="1" w:color="auto"/>
        </w:pBdr>
        <w:tabs>
          <w:tab w:val="left" w:pos="2948"/>
        </w:tabs>
      </w:pPr>
    </w:p>
    <w:p w14:paraId="6528C8A7" w14:textId="77777777" w:rsidR="008F2711" w:rsidRDefault="008F2711" w:rsidP="00504AFE">
      <w:pPr>
        <w:pBdr>
          <w:bottom w:val="single" w:sz="4" w:space="1" w:color="auto"/>
        </w:pBdr>
        <w:tabs>
          <w:tab w:val="left" w:pos="2948"/>
        </w:tabs>
      </w:pPr>
    </w:p>
    <w:p w14:paraId="744DFBD6" w14:textId="77777777" w:rsidR="00E83B89" w:rsidRDefault="00E83B89" w:rsidP="00504AFE">
      <w:pPr>
        <w:pBdr>
          <w:bottom w:val="single" w:sz="4" w:space="1" w:color="auto"/>
        </w:pBdr>
        <w:tabs>
          <w:tab w:val="left" w:pos="2948"/>
        </w:tabs>
      </w:pPr>
    </w:p>
    <w:p w14:paraId="50E4D503" w14:textId="77777777" w:rsidR="00E83B89" w:rsidRPr="00504AFE" w:rsidRDefault="00E83B89" w:rsidP="00504AFE">
      <w:pPr>
        <w:pBdr>
          <w:bottom w:val="single" w:sz="4" w:space="1" w:color="auto"/>
        </w:pBdr>
        <w:tabs>
          <w:tab w:val="left" w:pos="2948"/>
        </w:tabs>
      </w:pPr>
    </w:p>
    <w:p w14:paraId="79B4B4C7" w14:textId="778B18EB" w:rsidR="00D65A6E" w:rsidRDefault="00420F58" w:rsidP="0000329A">
      <w:pPr>
        <w:tabs>
          <w:tab w:val="left" w:pos="2948"/>
        </w:tabs>
        <w:rPr>
          <w:b/>
          <w:bCs/>
        </w:rPr>
      </w:pPr>
      <w:r>
        <w:rPr>
          <w:b/>
          <w:bCs/>
        </w:rPr>
        <w:t>Important Disclosures</w:t>
      </w:r>
    </w:p>
    <w:p w14:paraId="55AC3850" w14:textId="77777777" w:rsidR="00D65A6E" w:rsidRPr="00420F58" w:rsidRDefault="00D65A6E" w:rsidP="00D65A6E">
      <w:pPr>
        <w:tabs>
          <w:tab w:val="left" w:pos="2948"/>
        </w:tabs>
        <w:rPr>
          <w:sz w:val="20"/>
          <w:szCs w:val="20"/>
        </w:rPr>
      </w:pPr>
      <w:r w:rsidRPr="00420F58">
        <w:rPr>
          <w:sz w:val="20"/>
          <w:szCs w:val="20"/>
        </w:rPr>
        <w:t>This research note is provided for educational and informational purposes only and does not constitute investment advice, a solicitation, or an offer to buy or sell any security or investment product.</w:t>
      </w:r>
    </w:p>
    <w:p w14:paraId="4AF93B30" w14:textId="77777777" w:rsidR="00D65A6E" w:rsidRPr="00420F58" w:rsidRDefault="00D65A6E" w:rsidP="00D65A6E">
      <w:pPr>
        <w:tabs>
          <w:tab w:val="left" w:pos="2948"/>
        </w:tabs>
        <w:rPr>
          <w:sz w:val="20"/>
          <w:szCs w:val="20"/>
        </w:rPr>
      </w:pPr>
      <w:r w:rsidRPr="00420F58">
        <w:rPr>
          <w:sz w:val="20"/>
          <w:szCs w:val="20"/>
        </w:rPr>
        <w:t>All data and analysis are based on publicly available indices and academic literature.</w:t>
      </w:r>
    </w:p>
    <w:p w14:paraId="56609061" w14:textId="77777777" w:rsidR="00D65A6E" w:rsidRPr="00420F58" w:rsidRDefault="00D65A6E" w:rsidP="00D65A6E">
      <w:pPr>
        <w:tabs>
          <w:tab w:val="left" w:pos="2948"/>
        </w:tabs>
        <w:rPr>
          <w:sz w:val="20"/>
          <w:szCs w:val="20"/>
        </w:rPr>
      </w:pPr>
      <w:r w:rsidRPr="00420F58">
        <w:rPr>
          <w:sz w:val="20"/>
          <w:szCs w:val="20"/>
        </w:rPr>
        <w:t>Hypothetical portfolio comparisons are for illustrative purposes only and do not represent actual investment results.</w:t>
      </w:r>
    </w:p>
    <w:p w14:paraId="518FC150" w14:textId="77777777" w:rsidR="00D65A6E" w:rsidRDefault="00D65A6E" w:rsidP="00D65A6E">
      <w:pPr>
        <w:tabs>
          <w:tab w:val="left" w:pos="2948"/>
        </w:tabs>
        <w:rPr>
          <w:sz w:val="20"/>
          <w:szCs w:val="20"/>
        </w:rPr>
      </w:pPr>
      <w:r w:rsidRPr="00420F58">
        <w:rPr>
          <w:sz w:val="20"/>
          <w:szCs w:val="20"/>
        </w:rPr>
        <w:t>Past performance of any index is not indicative of future results.</w:t>
      </w:r>
    </w:p>
    <w:p w14:paraId="3C23DD36" w14:textId="67A06F2E" w:rsidR="003F6FFA" w:rsidRPr="003F6FFA" w:rsidRDefault="003F6FFA" w:rsidP="003F6FFA">
      <w:pPr>
        <w:tabs>
          <w:tab w:val="left" w:pos="2948"/>
        </w:tabs>
        <w:rPr>
          <w:sz w:val="20"/>
          <w:szCs w:val="20"/>
        </w:rPr>
      </w:pPr>
      <w:r w:rsidRPr="003F6FFA">
        <w:rPr>
          <w:sz w:val="20"/>
          <w:szCs w:val="20"/>
        </w:rPr>
        <w:t xml:space="preserve">All figures and index levels cited in this note are drawn from publicly available data sources and are provided for informational and illustrative purposes only. </w:t>
      </w:r>
    </w:p>
    <w:p w14:paraId="37F079BC" w14:textId="77777777" w:rsidR="00824865" w:rsidRPr="00420F58" w:rsidRDefault="00824865" w:rsidP="00D65A6E">
      <w:pPr>
        <w:tabs>
          <w:tab w:val="left" w:pos="2948"/>
        </w:tabs>
        <w:rPr>
          <w:sz w:val="20"/>
          <w:szCs w:val="20"/>
        </w:rPr>
      </w:pPr>
    </w:p>
    <w:p w14:paraId="73B08CE2" w14:textId="77777777" w:rsidR="00D65A6E" w:rsidRPr="00D65A6E" w:rsidRDefault="00D65A6E" w:rsidP="0000329A">
      <w:pPr>
        <w:tabs>
          <w:tab w:val="left" w:pos="2948"/>
        </w:tabs>
        <w:rPr>
          <w:b/>
          <w:bCs/>
        </w:rPr>
      </w:pPr>
    </w:p>
    <w:sectPr w:rsidR="00D65A6E" w:rsidRPr="00D65A6E">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6BE9F" w14:textId="77777777" w:rsidR="00B209BB" w:rsidRDefault="00B209BB" w:rsidP="009805FC">
      <w:pPr>
        <w:spacing w:after="0" w:line="240" w:lineRule="auto"/>
      </w:pPr>
      <w:r>
        <w:separator/>
      </w:r>
    </w:p>
  </w:endnote>
  <w:endnote w:type="continuationSeparator" w:id="0">
    <w:p w14:paraId="11F529C6" w14:textId="77777777" w:rsidR="00B209BB" w:rsidRDefault="00B209BB" w:rsidP="00980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D4F6" w14:textId="5638CF1D" w:rsidR="009805FC" w:rsidRDefault="009805FC" w:rsidP="009805FC">
    <w:pPr>
      <w:pStyle w:val="Footer"/>
      <w:jc w:val="center"/>
    </w:pPr>
    <w:r>
      <w:t>Advanced Alpha Advisers, LLC</w:t>
    </w:r>
  </w:p>
  <w:p w14:paraId="1B77879F" w14:textId="5C6E7EB3" w:rsidR="009805FC" w:rsidRDefault="009805FC" w:rsidP="009805FC">
    <w:pPr>
      <w:pStyle w:val="Footer"/>
      <w:jc w:val="center"/>
    </w:pPr>
    <w:r>
      <w:t>Registered Commodity Trading Advisor | NFA ID: 0505193</w:t>
    </w:r>
  </w:p>
  <w:p w14:paraId="6CCC159D" w14:textId="15FF79D6" w:rsidR="009805FC" w:rsidRDefault="009805FC" w:rsidP="009805FC">
    <w:pPr>
      <w:pStyle w:val="Footer"/>
      <w:jc w:val="center"/>
    </w:pPr>
    <w:r>
      <w:t>2 Overhill Rd, Suite 400, Scarsdale, NY 10583</w:t>
    </w:r>
  </w:p>
  <w:p w14:paraId="4C6A1B02" w14:textId="7C92BBD8" w:rsidR="009805FC" w:rsidRDefault="009805FC" w:rsidP="009805FC">
    <w:pPr>
      <w:pStyle w:val="Footer"/>
      <w:jc w:val="center"/>
    </w:pPr>
    <w:r>
      <w:t>www.advancedalphaadvisers.com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17DD1" w14:textId="77777777" w:rsidR="00B209BB" w:rsidRDefault="00B209BB" w:rsidP="009805FC">
      <w:pPr>
        <w:spacing w:after="0" w:line="240" w:lineRule="auto"/>
      </w:pPr>
      <w:r>
        <w:separator/>
      </w:r>
    </w:p>
  </w:footnote>
  <w:footnote w:type="continuationSeparator" w:id="0">
    <w:p w14:paraId="51D06606" w14:textId="77777777" w:rsidR="00B209BB" w:rsidRDefault="00B209BB" w:rsidP="009805FC">
      <w:pPr>
        <w:spacing w:after="0" w:line="240" w:lineRule="auto"/>
      </w:pPr>
      <w:r>
        <w:continuationSeparator/>
      </w:r>
    </w:p>
  </w:footnote>
  <w:footnote w:id="1">
    <w:p w14:paraId="1D03529A" w14:textId="3B49C9BD" w:rsidR="00F442D1" w:rsidRPr="00F442D1" w:rsidRDefault="00F442D1" w:rsidP="00F442D1">
      <w:pPr>
        <w:rPr>
          <w:sz w:val="20"/>
          <w:szCs w:val="20"/>
        </w:rPr>
      </w:pPr>
      <w:r>
        <w:rPr>
          <w:rStyle w:val="FootnoteReference"/>
        </w:rPr>
        <w:footnoteRef/>
      </w:r>
      <w:r>
        <w:t xml:space="preserve"> </w:t>
      </w:r>
      <w:r w:rsidRPr="00F442D1">
        <w:rPr>
          <w:sz w:val="20"/>
          <w:szCs w:val="20"/>
        </w:rPr>
        <w:t>Cboe Global Markets, CBOE Volatility Index (VIX) historical daily closing data: record close of 82.69 on March 16, 2020, the highest close in the index’s history to that point. Compiled in Macroption, “VIX All-Time Highs and Biggest Spikes</w:t>
      </w:r>
      <w:r>
        <w:rPr>
          <w:sz w:val="20"/>
          <w:szCs w:val="20"/>
        </w:rPr>
        <w:t>.</w:t>
      </w:r>
      <w:r w:rsidRPr="00F442D1">
        <w:rPr>
          <w:sz w:val="20"/>
          <w:szCs w:val="20"/>
        </w:rPr>
        <w:t>”</w:t>
      </w:r>
    </w:p>
  </w:footnote>
  <w:footnote w:id="2">
    <w:p w14:paraId="4A6E7BB2" w14:textId="36DAA4AE" w:rsidR="00F442D1" w:rsidRDefault="00F442D1">
      <w:pPr>
        <w:pStyle w:val="FootnoteText"/>
      </w:pPr>
      <w:r>
        <w:rPr>
          <w:rStyle w:val="FootnoteReference"/>
        </w:rPr>
        <w:footnoteRef/>
      </w:r>
      <w:r>
        <w:t xml:space="preserve"> Board of Governors of the Federal Reserve System, press release, March 23, 2020, announcing open-ended asset purchases and new lending facilities.</w:t>
      </w:r>
    </w:p>
  </w:footnote>
  <w:footnote w:id="3">
    <w:p w14:paraId="110DE2E7" w14:textId="7916AF4D" w:rsidR="00F442D1" w:rsidRDefault="00F442D1">
      <w:pPr>
        <w:pStyle w:val="FootnoteText"/>
      </w:pPr>
      <w:r>
        <w:rPr>
          <w:rStyle w:val="FootnoteReference"/>
        </w:rPr>
        <w:footnoteRef/>
      </w:r>
      <w:r>
        <w:t xml:space="preserve"> U.S. Bureau of Labor Statistics, “Consumer Price Index Summary,” June 2022 (released July 13, 2022): 12-month percent change of 9.1%, the highest reading since November 1981.</w:t>
      </w:r>
    </w:p>
  </w:footnote>
  <w:footnote w:id="4">
    <w:p w14:paraId="00FF013A" w14:textId="77777777" w:rsidR="00F442D1" w:rsidRPr="00F442D1" w:rsidRDefault="00F442D1" w:rsidP="00F442D1">
      <w:pPr>
        <w:rPr>
          <w:sz w:val="20"/>
          <w:szCs w:val="20"/>
        </w:rPr>
      </w:pPr>
      <w:r>
        <w:rPr>
          <w:rStyle w:val="FootnoteReference"/>
        </w:rPr>
        <w:footnoteRef/>
      </w:r>
      <w:r>
        <w:t xml:space="preserve"> </w:t>
      </w:r>
      <w:r w:rsidRPr="00F442D1">
        <w:rPr>
          <w:sz w:val="20"/>
          <w:szCs w:val="20"/>
        </w:rPr>
        <w:t>Cboe Global Markets, CBOE Volatility Index (VIX) daily intraday and closing data, calendar year 2022.</w:t>
      </w:r>
    </w:p>
    <w:p w14:paraId="75DCC16A" w14:textId="51DEC956" w:rsidR="00F442D1" w:rsidRDefault="00F442D1">
      <w:pPr>
        <w:pStyle w:val="FootnoteText"/>
      </w:pPr>
    </w:p>
  </w:footnote>
  <w:footnote w:id="5">
    <w:p w14:paraId="45CA9B3E" w14:textId="4727E577" w:rsidR="001A754E" w:rsidRPr="001A754E" w:rsidRDefault="001A754E" w:rsidP="001A754E">
      <w:pPr>
        <w:rPr>
          <w:sz w:val="20"/>
          <w:szCs w:val="20"/>
        </w:rPr>
      </w:pPr>
      <w:r>
        <w:rPr>
          <w:rStyle w:val="FootnoteReference"/>
        </w:rPr>
        <w:footnoteRef/>
      </w:r>
      <w:r>
        <w:t xml:space="preserve"> </w:t>
      </w:r>
      <w:r w:rsidRPr="001A754E">
        <w:rPr>
          <w:sz w:val="20"/>
          <w:szCs w:val="20"/>
        </w:rPr>
        <w:t>Bank of Japan, “Change in the Guideline for Money Market Operations,” July 31, 2024: the Policy Board raised the short-term policy rate to around 0.25% from a range of 0%–0.1%, effective August 1, 2024 — its highest level in 15 years.</w:t>
      </w:r>
    </w:p>
  </w:footnote>
  <w:footnote w:id="6">
    <w:p w14:paraId="6F501151" w14:textId="75165170" w:rsidR="001A754E" w:rsidRPr="001A754E" w:rsidRDefault="001A754E" w:rsidP="001A754E">
      <w:pPr>
        <w:rPr>
          <w:sz w:val="20"/>
          <w:szCs w:val="20"/>
        </w:rPr>
      </w:pPr>
      <w:r w:rsidRPr="001A754E">
        <w:rPr>
          <w:rStyle w:val="FootnoteReference"/>
          <w:sz w:val="20"/>
          <w:szCs w:val="20"/>
        </w:rPr>
        <w:footnoteRef/>
      </w:r>
      <w:r w:rsidRPr="001A754E">
        <w:rPr>
          <w:sz w:val="20"/>
          <w:szCs w:val="20"/>
        </w:rPr>
        <w:t xml:space="preserve"> Cboe Global Markets, CBOE Volatility Index (VIX) daily data, August 5, 2024: intraday high of 65.73 and close of 38.57, the largest single-day point spike in the index’s history. Sources: Cboe, “VIX Index Decomposition,” August 1, 2025 update; Macroption historical VIX data.</w:t>
      </w:r>
    </w:p>
  </w:footnote>
  <w:footnote w:id="7">
    <w:p w14:paraId="32C08B1F" w14:textId="743F3716" w:rsidR="001A754E" w:rsidRPr="001A754E" w:rsidRDefault="001A754E" w:rsidP="001A754E">
      <w:pPr>
        <w:rPr>
          <w:sz w:val="20"/>
          <w:szCs w:val="20"/>
        </w:rPr>
      </w:pPr>
      <w:r w:rsidRPr="001A754E">
        <w:rPr>
          <w:rStyle w:val="FootnoteReference"/>
          <w:sz w:val="20"/>
          <w:szCs w:val="20"/>
        </w:rPr>
        <w:footnoteRef/>
      </w:r>
      <w:r w:rsidRPr="001A754E">
        <w:rPr>
          <w:sz w:val="20"/>
          <w:szCs w:val="20"/>
        </w:rPr>
        <w:t xml:space="preserve"> Measured from the July 31, 2024 close to the August 5, 2024 intraday low (a three-session window); published estimates of the cumulative decline range from roughly 6% to 7.3% depending on the exact start and end points used. The S&amp;P 500 also fell approximately 3% intraday on August 5, 2024 alone. Sources: Cboe Global Markets, “VIX Index Decomposition,” August 1, 2025; contemporaneous financial press reporting. Figures are approximate and vary by source.</w:t>
      </w:r>
    </w:p>
  </w:footnote>
  <w:footnote w:id="8">
    <w:p w14:paraId="36498618" w14:textId="77777777" w:rsidR="001A754E" w:rsidRPr="001A754E" w:rsidRDefault="001A754E" w:rsidP="001A754E">
      <w:pPr>
        <w:rPr>
          <w:sz w:val="20"/>
          <w:szCs w:val="20"/>
        </w:rPr>
      </w:pPr>
      <w:r w:rsidRPr="001A754E">
        <w:rPr>
          <w:rStyle w:val="FootnoteReference"/>
          <w:sz w:val="20"/>
          <w:szCs w:val="20"/>
        </w:rPr>
        <w:footnoteRef/>
      </w:r>
      <w:r w:rsidRPr="001A754E">
        <w:rPr>
          <w:sz w:val="20"/>
          <w:szCs w:val="20"/>
        </w:rPr>
        <w:t xml:space="preserve"> Tokyo Stock Exchange; contemporaneous financial press reporting: TOPIX and Nikkei 225 each declined more than 12% on August 5, 2024, the steepest single-day decline for Japanese equities since October 20, 1987 (“Black Monday”).</w:t>
      </w:r>
    </w:p>
    <w:p w14:paraId="45055185" w14:textId="3DAA134C" w:rsidR="001A754E" w:rsidRDefault="001A754E">
      <w:pPr>
        <w:pStyle w:val="FootnoteText"/>
      </w:pPr>
    </w:p>
  </w:footnote>
  <w:footnote w:id="9">
    <w:p w14:paraId="53C4AF16" w14:textId="4405C03E" w:rsidR="001A754E" w:rsidRPr="001A754E" w:rsidRDefault="001A754E" w:rsidP="001A754E">
      <w:pPr>
        <w:rPr>
          <w:sz w:val="20"/>
          <w:szCs w:val="20"/>
        </w:rPr>
      </w:pPr>
      <w:r w:rsidRPr="001A754E">
        <w:rPr>
          <w:rStyle w:val="FootnoteReference"/>
          <w:sz w:val="20"/>
          <w:szCs w:val="20"/>
        </w:rPr>
        <w:footnoteRef/>
      </w:r>
      <w:r w:rsidRPr="001A754E">
        <w:rPr>
          <w:sz w:val="20"/>
          <w:szCs w:val="20"/>
        </w:rPr>
        <w:t xml:space="preserve"> The White House, “Liberation Day” tariff announcement, April 2, 2025: a 10% baseline tariff on nearly all U.S. imports, with higher country-specific reciprocal rates announced for select trading partners.</w:t>
      </w:r>
    </w:p>
  </w:footnote>
  <w:footnote w:id="10">
    <w:p w14:paraId="32465A51" w14:textId="53F7378E" w:rsidR="001A754E" w:rsidRDefault="001A754E">
      <w:pPr>
        <w:pStyle w:val="FootnoteText"/>
      </w:pPr>
      <w:r>
        <w:rPr>
          <w:rStyle w:val="FootnoteReference"/>
        </w:rPr>
        <w:footnoteRef/>
      </w:r>
      <w:r>
        <w:t xml:space="preserve"> Cboe Global Markets, CBOE Volatility Index (VIX) daily data: intraday high of 60.13 on April 7, 2025, and closing high of 52.33 on April 8, 2025 — the highest close outside of the 2008 and 2020 crises in the index’s history. Sources: Cboe Global Markets; OptionMetrics analysis reported in Investing.com, “Tariffs, turmoil, and the VIX,” 2025; Macroption historical VIX data.</w:t>
      </w:r>
    </w:p>
  </w:footnote>
  <w:footnote w:id="11">
    <w:p w14:paraId="224E9AA2" w14:textId="558353BC" w:rsidR="001A754E" w:rsidRDefault="001A754E">
      <w:pPr>
        <w:pStyle w:val="FootnoteText"/>
      </w:pPr>
      <w:r>
        <w:rPr>
          <w:rStyle w:val="FootnoteReference"/>
        </w:rPr>
        <w:footnoteRef/>
      </w:r>
      <w:r>
        <w:t xml:space="preserve"> The Cboe S&amp;P 500 Index (SPX) declined nearly 10% over the two trading sessions of April 3–4, 2025 following the April 2 tariff announcement. Source: Cboe Global Markets, “Index Insights: April,” May 7, 2025.</w:t>
      </w:r>
    </w:p>
  </w:footnote>
  <w:footnote w:id="12">
    <w:p w14:paraId="3C4532AB" w14:textId="77777777" w:rsidR="001A754E" w:rsidRPr="001A754E" w:rsidRDefault="001A754E" w:rsidP="001A754E">
      <w:pPr>
        <w:rPr>
          <w:sz w:val="20"/>
          <w:szCs w:val="20"/>
        </w:rPr>
      </w:pPr>
      <w:r w:rsidRPr="001A754E">
        <w:rPr>
          <w:rStyle w:val="FootnoteReference"/>
          <w:sz w:val="20"/>
          <w:szCs w:val="20"/>
        </w:rPr>
        <w:footnoteRef/>
      </w:r>
      <w:r w:rsidRPr="001A754E">
        <w:rPr>
          <w:sz w:val="20"/>
          <w:szCs w:val="20"/>
        </w:rPr>
        <w:t xml:space="preserve"> Hurst, B., Y.H. Ooi, and L.H. Pedersen, “A Century of Evidence on Trend-Following Investing,” Journal of Portfolio Management (2017); Hurst, B., Y.H. Ooi, and L.H. Pedersen, “Demystifying Managed Futures,” Journal of Investment Management, Vol. 11, No. 3 (2013), pp. 42–58.</w:t>
      </w:r>
    </w:p>
    <w:p w14:paraId="029B7C5E" w14:textId="45B5AE9A" w:rsidR="001A754E" w:rsidRDefault="001A754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7A317" w14:textId="75D4F78A" w:rsidR="009805FC" w:rsidRDefault="009805FC">
    <w:pPr>
      <w:pStyle w:val="Header"/>
    </w:pPr>
    <w:r>
      <w:rPr>
        <w:noProof/>
      </w:rPr>
      <w:drawing>
        <wp:inline distT="0" distB="0" distL="0" distR="0" wp14:anchorId="1957E74E" wp14:editId="742895DB">
          <wp:extent cx="1870248" cy="566738"/>
          <wp:effectExtent l="0" t="0" r="0" b="5080"/>
          <wp:docPr id="42688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88079" name="Picture 42688079"/>
                  <pic:cNvPicPr/>
                </pic:nvPicPr>
                <pic:blipFill>
                  <a:blip r:embed="rId1">
                    <a:extLst>
                      <a:ext uri="{28A0092B-C50C-407E-A947-70E740481C1C}">
                        <a14:useLocalDpi xmlns:a14="http://schemas.microsoft.com/office/drawing/2010/main" val="0"/>
                      </a:ext>
                    </a:extLst>
                  </a:blip>
                  <a:stretch>
                    <a:fillRect/>
                  </a:stretch>
                </pic:blipFill>
                <pic:spPr>
                  <a:xfrm>
                    <a:off x="0" y="0"/>
                    <a:ext cx="2037987" cy="617568"/>
                  </a:xfrm>
                  <a:prstGeom prst="rect">
                    <a:avLst/>
                  </a:prstGeom>
                </pic:spPr>
              </pic:pic>
            </a:graphicData>
          </a:graphic>
        </wp:inline>
      </w:drawing>
    </w:r>
  </w:p>
  <w:p w14:paraId="546DF9E7" w14:textId="77777777" w:rsidR="009805FC" w:rsidRDefault="009805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23F24"/>
    <w:multiLevelType w:val="hybridMultilevel"/>
    <w:tmpl w:val="8D068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3D1317"/>
    <w:multiLevelType w:val="hybridMultilevel"/>
    <w:tmpl w:val="1090A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2D1CAB"/>
    <w:multiLevelType w:val="hybridMultilevel"/>
    <w:tmpl w:val="07C428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C63FD6"/>
    <w:multiLevelType w:val="hybridMultilevel"/>
    <w:tmpl w:val="56545F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D7091B"/>
    <w:multiLevelType w:val="multilevel"/>
    <w:tmpl w:val="1CE25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1B47BB"/>
    <w:multiLevelType w:val="hybridMultilevel"/>
    <w:tmpl w:val="5F1053C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C23B77"/>
    <w:multiLevelType w:val="multilevel"/>
    <w:tmpl w:val="11B2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87474A"/>
    <w:multiLevelType w:val="multilevel"/>
    <w:tmpl w:val="01D6C5E6"/>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C548E4"/>
    <w:multiLevelType w:val="multilevel"/>
    <w:tmpl w:val="2BD84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757374"/>
    <w:multiLevelType w:val="multilevel"/>
    <w:tmpl w:val="47E236C0"/>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1C2E27"/>
    <w:multiLevelType w:val="multilevel"/>
    <w:tmpl w:val="84BA4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0E64D4"/>
    <w:multiLevelType w:val="multilevel"/>
    <w:tmpl w:val="AF1C5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2B399C"/>
    <w:multiLevelType w:val="multilevel"/>
    <w:tmpl w:val="5944FF74"/>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6C6B11"/>
    <w:multiLevelType w:val="multilevel"/>
    <w:tmpl w:val="47EED4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3668867">
    <w:abstractNumId w:val="3"/>
  </w:num>
  <w:num w:numId="2" w16cid:durableId="208997797">
    <w:abstractNumId w:val="5"/>
  </w:num>
  <w:num w:numId="3" w16cid:durableId="927620513">
    <w:abstractNumId w:val="0"/>
  </w:num>
  <w:num w:numId="4" w16cid:durableId="1222863732">
    <w:abstractNumId w:val="1"/>
  </w:num>
  <w:num w:numId="5" w16cid:durableId="2015913761">
    <w:abstractNumId w:val="10"/>
  </w:num>
  <w:num w:numId="6" w16cid:durableId="740448124">
    <w:abstractNumId w:val="9"/>
  </w:num>
  <w:num w:numId="7" w16cid:durableId="1875652311">
    <w:abstractNumId w:val="11"/>
  </w:num>
  <w:num w:numId="8" w16cid:durableId="88626240">
    <w:abstractNumId w:val="6"/>
  </w:num>
  <w:num w:numId="9" w16cid:durableId="779957122">
    <w:abstractNumId w:val="4"/>
  </w:num>
  <w:num w:numId="10" w16cid:durableId="1127428065">
    <w:abstractNumId w:val="13"/>
  </w:num>
  <w:num w:numId="11" w16cid:durableId="1454859915">
    <w:abstractNumId w:val="8"/>
  </w:num>
  <w:num w:numId="12" w16cid:durableId="1539708258">
    <w:abstractNumId w:val="7"/>
  </w:num>
  <w:num w:numId="13" w16cid:durableId="80293784">
    <w:abstractNumId w:val="12"/>
  </w:num>
  <w:num w:numId="14" w16cid:durableId="16707182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5FC"/>
    <w:rsid w:val="00000694"/>
    <w:rsid w:val="00002523"/>
    <w:rsid w:val="00002F48"/>
    <w:rsid w:val="0000329A"/>
    <w:rsid w:val="00003D46"/>
    <w:rsid w:val="00014290"/>
    <w:rsid w:val="00020BDD"/>
    <w:rsid w:val="00023D3B"/>
    <w:rsid w:val="00023E0D"/>
    <w:rsid w:val="0002610C"/>
    <w:rsid w:val="00031D19"/>
    <w:rsid w:val="0003520E"/>
    <w:rsid w:val="00040FA8"/>
    <w:rsid w:val="0008284B"/>
    <w:rsid w:val="00097D13"/>
    <w:rsid w:val="000A4BD1"/>
    <w:rsid w:val="000A4FB9"/>
    <w:rsid w:val="000B50B6"/>
    <w:rsid w:val="000B6CC3"/>
    <w:rsid w:val="000D719F"/>
    <w:rsid w:val="000E7BFF"/>
    <w:rsid w:val="000F3EF5"/>
    <w:rsid w:val="001060B3"/>
    <w:rsid w:val="0011664D"/>
    <w:rsid w:val="00117CFE"/>
    <w:rsid w:val="0012005E"/>
    <w:rsid w:val="00137553"/>
    <w:rsid w:val="0016617B"/>
    <w:rsid w:val="00172468"/>
    <w:rsid w:val="001731A7"/>
    <w:rsid w:val="00180F5F"/>
    <w:rsid w:val="001815D5"/>
    <w:rsid w:val="00183700"/>
    <w:rsid w:val="001859AB"/>
    <w:rsid w:val="00187EB8"/>
    <w:rsid w:val="001A754E"/>
    <w:rsid w:val="001B2845"/>
    <w:rsid w:val="001B6F86"/>
    <w:rsid w:val="001C3380"/>
    <w:rsid w:val="001E00DC"/>
    <w:rsid w:val="001E6B0F"/>
    <w:rsid w:val="001E6BA2"/>
    <w:rsid w:val="001F47D4"/>
    <w:rsid w:val="00200142"/>
    <w:rsid w:val="00200F62"/>
    <w:rsid w:val="00202A48"/>
    <w:rsid w:val="002065F1"/>
    <w:rsid w:val="00213278"/>
    <w:rsid w:val="00216892"/>
    <w:rsid w:val="00221673"/>
    <w:rsid w:val="002412FF"/>
    <w:rsid w:val="00247207"/>
    <w:rsid w:val="00262D89"/>
    <w:rsid w:val="00270350"/>
    <w:rsid w:val="00270EEE"/>
    <w:rsid w:val="00293E0F"/>
    <w:rsid w:val="002F1F5E"/>
    <w:rsid w:val="002F43B3"/>
    <w:rsid w:val="00306096"/>
    <w:rsid w:val="003135AC"/>
    <w:rsid w:val="0032570C"/>
    <w:rsid w:val="003425EE"/>
    <w:rsid w:val="0034287B"/>
    <w:rsid w:val="003441EE"/>
    <w:rsid w:val="00361995"/>
    <w:rsid w:val="00362977"/>
    <w:rsid w:val="00364D51"/>
    <w:rsid w:val="003657AC"/>
    <w:rsid w:val="00366B50"/>
    <w:rsid w:val="00367A21"/>
    <w:rsid w:val="00373AC8"/>
    <w:rsid w:val="00373C2A"/>
    <w:rsid w:val="003757DD"/>
    <w:rsid w:val="00382B36"/>
    <w:rsid w:val="003843C3"/>
    <w:rsid w:val="003843EA"/>
    <w:rsid w:val="003A78BB"/>
    <w:rsid w:val="003B0313"/>
    <w:rsid w:val="003B2130"/>
    <w:rsid w:val="003C6FC6"/>
    <w:rsid w:val="003D49ED"/>
    <w:rsid w:val="003D6566"/>
    <w:rsid w:val="003E147F"/>
    <w:rsid w:val="003E7D04"/>
    <w:rsid w:val="003F6FFA"/>
    <w:rsid w:val="00401135"/>
    <w:rsid w:val="004109C2"/>
    <w:rsid w:val="004143E3"/>
    <w:rsid w:val="00420F58"/>
    <w:rsid w:val="0042526D"/>
    <w:rsid w:val="004300DF"/>
    <w:rsid w:val="004430E2"/>
    <w:rsid w:val="00444B76"/>
    <w:rsid w:val="0045036E"/>
    <w:rsid w:val="004515F2"/>
    <w:rsid w:val="00452E71"/>
    <w:rsid w:val="004703FC"/>
    <w:rsid w:val="004745AA"/>
    <w:rsid w:val="00483699"/>
    <w:rsid w:val="004871B2"/>
    <w:rsid w:val="004B1C66"/>
    <w:rsid w:val="004B4443"/>
    <w:rsid w:val="004C32EF"/>
    <w:rsid w:val="004C5930"/>
    <w:rsid w:val="004D329A"/>
    <w:rsid w:val="004E349D"/>
    <w:rsid w:val="004F5ABB"/>
    <w:rsid w:val="00502F14"/>
    <w:rsid w:val="00504AFE"/>
    <w:rsid w:val="00505EB3"/>
    <w:rsid w:val="005127DE"/>
    <w:rsid w:val="00514EE5"/>
    <w:rsid w:val="00516D24"/>
    <w:rsid w:val="00532B04"/>
    <w:rsid w:val="0054277B"/>
    <w:rsid w:val="00560BD2"/>
    <w:rsid w:val="0057309D"/>
    <w:rsid w:val="00581536"/>
    <w:rsid w:val="005968B5"/>
    <w:rsid w:val="006252D0"/>
    <w:rsid w:val="00630B68"/>
    <w:rsid w:val="00630D64"/>
    <w:rsid w:val="006332C1"/>
    <w:rsid w:val="00636C84"/>
    <w:rsid w:val="006376F9"/>
    <w:rsid w:val="0065103D"/>
    <w:rsid w:val="00653492"/>
    <w:rsid w:val="006542FA"/>
    <w:rsid w:val="006562F8"/>
    <w:rsid w:val="00664CBC"/>
    <w:rsid w:val="00673717"/>
    <w:rsid w:val="006768E8"/>
    <w:rsid w:val="00682A2B"/>
    <w:rsid w:val="00687E1A"/>
    <w:rsid w:val="00692B0F"/>
    <w:rsid w:val="006A01FF"/>
    <w:rsid w:val="006A45A1"/>
    <w:rsid w:val="006C69E3"/>
    <w:rsid w:val="006D33E8"/>
    <w:rsid w:val="006D73E3"/>
    <w:rsid w:val="006E77B7"/>
    <w:rsid w:val="006F551A"/>
    <w:rsid w:val="00700229"/>
    <w:rsid w:val="007132B7"/>
    <w:rsid w:val="0071617B"/>
    <w:rsid w:val="00740E05"/>
    <w:rsid w:val="00751F26"/>
    <w:rsid w:val="00756CAF"/>
    <w:rsid w:val="00763501"/>
    <w:rsid w:val="007666F1"/>
    <w:rsid w:val="00766952"/>
    <w:rsid w:val="00771736"/>
    <w:rsid w:val="00773600"/>
    <w:rsid w:val="00773DB9"/>
    <w:rsid w:val="00776D66"/>
    <w:rsid w:val="007A139A"/>
    <w:rsid w:val="007D0A1D"/>
    <w:rsid w:val="007D2F60"/>
    <w:rsid w:val="007D5656"/>
    <w:rsid w:val="007D6ADC"/>
    <w:rsid w:val="007E0745"/>
    <w:rsid w:val="007E36FF"/>
    <w:rsid w:val="007F2922"/>
    <w:rsid w:val="00802995"/>
    <w:rsid w:val="00803BD3"/>
    <w:rsid w:val="00816701"/>
    <w:rsid w:val="00816DCE"/>
    <w:rsid w:val="0081703D"/>
    <w:rsid w:val="008225F7"/>
    <w:rsid w:val="00824865"/>
    <w:rsid w:val="008425E6"/>
    <w:rsid w:val="00844C12"/>
    <w:rsid w:val="00850D4A"/>
    <w:rsid w:val="00874CC2"/>
    <w:rsid w:val="00877E65"/>
    <w:rsid w:val="00882A4F"/>
    <w:rsid w:val="008920F0"/>
    <w:rsid w:val="008936B2"/>
    <w:rsid w:val="008B0A47"/>
    <w:rsid w:val="008B11E4"/>
    <w:rsid w:val="008B4315"/>
    <w:rsid w:val="008B6FDC"/>
    <w:rsid w:val="008B7C89"/>
    <w:rsid w:val="008D1412"/>
    <w:rsid w:val="008D1BD4"/>
    <w:rsid w:val="008D5527"/>
    <w:rsid w:val="008E02BC"/>
    <w:rsid w:val="008E26A9"/>
    <w:rsid w:val="008F2711"/>
    <w:rsid w:val="00903817"/>
    <w:rsid w:val="00917B88"/>
    <w:rsid w:val="009319B4"/>
    <w:rsid w:val="00936BC5"/>
    <w:rsid w:val="00955BF7"/>
    <w:rsid w:val="0096050A"/>
    <w:rsid w:val="00961690"/>
    <w:rsid w:val="00961773"/>
    <w:rsid w:val="009712FE"/>
    <w:rsid w:val="00975F2B"/>
    <w:rsid w:val="009805FC"/>
    <w:rsid w:val="00980C37"/>
    <w:rsid w:val="0098213A"/>
    <w:rsid w:val="0099336A"/>
    <w:rsid w:val="009A381E"/>
    <w:rsid w:val="009A40A6"/>
    <w:rsid w:val="009C530D"/>
    <w:rsid w:val="009D5390"/>
    <w:rsid w:val="009D5424"/>
    <w:rsid w:val="009E2AF3"/>
    <w:rsid w:val="009F3FFC"/>
    <w:rsid w:val="009F781B"/>
    <w:rsid w:val="00A156CB"/>
    <w:rsid w:val="00A213AA"/>
    <w:rsid w:val="00A42638"/>
    <w:rsid w:val="00A45E3C"/>
    <w:rsid w:val="00A46BD2"/>
    <w:rsid w:val="00A50B40"/>
    <w:rsid w:val="00A5324F"/>
    <w:rsid w:val="00A67FEB"/>
    <w:rsid w:val="00A76B29"/>
    <w:rsid w:val="00A80D3F"/>
    <w:rsid w:val="00A8289A"/>
    <w:rsid w:val="00A84B36"/>
    <w:rsid w:val="00A87417"/>
    <w:rsid w:val="00AA117C"/>
    <w:rsid w:val="00AC19BE"/>
    <w:rsid w:val="00AC363B"/>
    <w:rsid w:val="00AD2D90"/>
    <w:rsid w:val="00AD53F9"/>
    <w:rsid w:val="00AE10EA"/>
    <w:rsid w:val="00AE4C5A"/>
    <w:rsid w:val="00AE5392"/>
    <w:rsid w:val="00B00696"/>
    <w:rsid w:val="00B0093F"/>
    <w:rsid w:val="00B066C4"/>
    <w:rsid w:val="00B1234A"/>
    <w:rsid w:val="00B17986"/>
    <w:rsid w:val="00B209BB"/>
    <w:rsid w:val="00B303EF"/>
    <w:rsid w:val="00B34D62"/>
    <w:rsid w:val="00B4169A"/>
    <w:rsid w:val="00B43213"/>
    <w:rsid w:val="00B43C28"/>
    <w:rsid w:val="00B51109"/>
    <w:rsid w:val="00B52E26"/>
    <w:rsid w:val="00B55096"/>
    <w:rsid w:val="00B650A7"/>
    <w:rsid w:val="00B83BDD"/>
    <w:rsid w:val="00B83F36"/>
    <w:rsid w:val="00B90C0F"/>
    <w:rsid w:val="00BB40D1"/>
    <w:rsid w:val="00BC191F"/>
    <w:rsid w:val="00BC2F2F"/>
    <w:rsid w:val="00BD7C32"/>
    <w:rsid w:val="00BE2FE0"/>
    <w:rsid w:val="00BE5717"/>
    <w:rsid w:val="00BF322C"/>
    <w:rsid w:val="00BF58B1"/>
    <w:rsid w:val="00BF5BCB"/>
    <w:rsid w:val="00C12A77"/>
    <w:rsid w:val="00C232D2"/>
    <w:rsid w:val="00C27B6E"/>
    <w:rsid w:val="00C322D3"/>
    <w:rsid w:val="00C330EC"/>
    <w:rsid w:val="00C36912"/>
    <w:rsid w:val="00C36A4A"/>
    <w:rsid w:val="00C37B02"/>
    <w:rsid w:val="00C459EE"/>
    <w:rsid w:val="00C63B44"/>
    <w:rsid w:val="00C70D2B"/>
    <w:rsid w:val="00C85A27"/>
    <w:rsid w:val="00C90A24"/>
    <w:rsid w:val="00CA0CCC"/>
    <w:rsid w:val="00CA3F5D"/>
    <w:rsid w:val="00CC3D69"/>
    <w:rsid w:val="00CC53FC"/>
    <w:rsid w:val="00CC77D2"/>
    <w:rsid w:val="00CD499B"/>
    <w:rsid w:val="00CD4C3F"/>
    <w:rsid w:val="00CD5626"/>
    <w:rsid w:val="00D36BBD"/>
    <w:rsid w:val="00D510FB"/>
    <w:rsid w:val="00D5202F"/>
    <w:rsid w:val="00D63D16"/>
    <w:rsid w:val="00D65A6E"/>
    <w:rsid w:val="00D70AAB"/>
    <w:rsid w:val="00D76007"/>
    <w:rsid w:val="00DA022E"/>
    <w:rsid w:val="00DA32AB"/>
    <w:rsid w:val="00DA5CF8"/>
    <w:rsid w:val="00DA76E0"/>
    <w:rsid w:val="00DB27E3"/>
    <w:rsid w:val="00DB693D"/>
    <w:rsid w:val="00DC0567"/>
    <w:rsid w:val="00DC7801"/>
    <w:rsid w:val="00DD6210"/>
    <w:rsid w:val="00DD62E5"/>
    <w:rsid w:val="00E02A67"/>
    <w:rsid w:val="00E03222"/>
    <w:rsid w:val="00E16E9A"/>
    <w:rsid w:val="00E4566D"/>
    <w:rsid w:val="00E717F2"/>
    <w:rsid w:val="00E76201"/>
    <w:rsid w:val="00E81D71"/>
    <w:rsid w:val="00E83B89"/>
    <w:rsid w:val="00E87196"/>
    <w:rsid w:val="00EA1E23"/>
    <w:rsid w:val="00EA59A5"/>
    <w:rsid w:val="00EC59E9"/>
    <w:rsid w:val="00EC6019"/>
    <w:rsid w:val="00ED5FC5"/>
    <w:rsid w:val="00EE0D83"/>
    <w:rsid w:val="00EE103F"/>
    <w:rsid w:val="00EE1A17"/>
    <w:rsid w:val="00EE45BE"/>
    <w:rsid w:val="00EF4C83"/>
    <w:rsid w:val="00F164D3"/>
    <w:rsid w:val="00F20DB5"/>
    <w:rsid w:val="00F32B6B"/>
    <w:rsid w:val="00F32F02"/>
    <w:rsid w:val="00F34974"/>
    <w:rsid w:val="00F35146"/>
    <w:rsid w:val="00F442D1"/>
    <w:rsid w:val="00F53944"/>
    <w:rsid w:val="00F61611"/>
    <w:rsid w:val="00F63EF9"/>
    <w:rsid w:val="00F67BBD"/>
    <w:rsid w:val="00F70EB0"/>
    <w:rsid w:val="00F80FB6"/>
    <w:rsid w:val="00FA053E"/>
    <w:rsid w:val="00FA5CB9"/>
    <w:rsid w:val="00FC3116"/>
    <w:rsid w:val="00FD0D81"/>
    <w:rsid w:val="00FF2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2E74C"/>
  <w15:chartTrackingRefBased/>
  <w15:docId w15:val="{598E8333-C79B-48DF-950D-C3FCFFB3A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9B4"/>
  </w:style>
  <w:style w:type="paragraph" w:styleId="Heading1">
    <w:name w:val="heading 1"/>
    <w:basedOn w:val="Normal"/>
    <w:next w:val="Normal"/>
    <w:link w:val="Heading1Char"/>
    <w:uiPriority w:val="9"/>
    <w:qFormat/>
    <w:rsid w:val="009805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05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05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05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05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05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5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5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5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5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05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05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05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05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05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5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5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5FC"/>
    <w:rPr>
      <w:rFonts w:eastAsiaTheme="majorEastAsia" w:cstheme="majorBidi"/>
      <w:color w:val="272727" w:themeColor="text1" w:themeTint="D8"/>
    </w:rPr>
  </w:style>
  <w:style w:type="paragraph" w:styleId="Title">
    <w:name w:val="Title"/>
    <w:basedOn w:val="Normal"/>
    <w:next w:val="Normal"/>
    <w:link w:val="TitleChar"/>
    <w:uiPriority w:val="10"/>
    <w:qFormat/>
    <w:rsid w:val="009805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5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5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5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5FC"/>
    <w:pPr>
      <w:spacing w:before="160"/>
      <w:jc w:val="center"/>
    </w:pPr>
    <w:rPr>
      <w:i/>
      <w:iCs/>
      <w:color w:val="404040" w:themeColor="text1" w:themeTint="BF"/>
    </w:rPr>
  </w:style>
  <w:style w:type="character" w:customStyle="1" w:styleId="QuoteChar">
    <w:name w:val="Quote Char"/>
    <w:basedOn w:val="DefaultParagraphFont"/>
    <w:link w:val="Quote"/>
    <w:uiPriority w:val="29"/>
    <w:rsid w:val="009805FC"/>
    <w:rPr>
      <w:i/>
      <w:iCs/>
      <w:color w:val="404040" w:themeColor="text1" w:themeTint="BF"/>
    </w:rPr>
  </w:style>
  <w:style w:type="paragraph" w:styleId="ListParagraph">
    <w:name w:val="List Paragraph"/>
    <w:basedOn w:val="Normal"/>
    <w:uiPriority w:val="34"/>
    <w:qFormat/>
    <w:rsid w:val="009805FC"/>
    <w:pPr>
      <w:ind w:left="720"/>
      <w:contextualSpacing/>
    </w:pPr>
  </w:style>
  <w:style w:type="character" w:styleId="IntenseEmphasis">
    <w:name w:val="Intense Emphasis"/>
    <w:basedOn w:val="DefaultParagraphFont"/>
    <w:uiPriority w:val="21"/>
    <w:qFormat/>
    <w:rsid w:val="009805FC"/>
    <w:rPr>
      <w:i/>
      <w:iCs/>
      <w:color w:val="0F4761" w:themeColor="accent1" w:themeShade="BF"/>
    </w:rPr>
  </w:style>
  <w:style w:type="paragraph" w:styleId="IntenseQuote">
    <w:name w:val="Intense Quote"/>
    <w:basedOn w:val="Normal"/>
    <w:next w:val="Normal"/>
    <w:link w:val="IntenseQuoteChar"/>
    <w:uiPriority w:val="30"/>
    <w:qFormat/>
    <w:rsid w:val="009805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05FC"/>
    <w:rPr>
      <w:i/>
      <w:iCs/>
      <w:color w:val="0F4761" w:themeColor="accent1" w:themeShade="BF"/>
    </w:rPr>
  </w:style>
  <w:style w:type="character" w:styleId="IntenseReference">
    <w:name w:val="Intense Reference"/>
    <w:basedOn w:val="DefaultParagraphFont"/>
    <w:uiPriority w:val="32"/>
    <w:qFormat/>
    <w:rsid w:val="009805FC"/>
    <w:rPr>
      <w:b/>
      <w:bCs/>
      <w:smallCaps/>
      <w:color w:val="0F4761" w:themeColor="accent1" w:themeShade="BF"/>
      <w:spacing w:val="5"/>
    </w:rPr>
  </w:style>
  <w:style w:type="paragraph" w:styleId="NoSpacing">
    <w:name w:val="No Spacing"/>
    <w:uiPriority w:val="1"/>
    <w:qFormat/>
    <w:rsid w:val="009805FC"/>
    <w:pPr>
      <w:spacing w:after="0" w:line="240" w:lineRule="auto"/>
    </w:pPr>
  </w:style>
  <w:style w:type="paragraph" w:styleId="Header">
    <w:name w:val="header"/>
    <w:basedOn w:val="Normal"/>
    <w:link w:val="HeaderChar"/>
    <w:uiPriority w:val="99"/>
    <w:unhideWhenUsed/>
    <w:rsid w:val="00980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05FC"/>
  </w:style>
  <w:style w:type="paragraph" w:styleId="Footer">
    <w:name w:val="footer"/>
    <w:basedOn w:val="Normal"/>
    <w:link w:val="FooterChar"/>
    <w:uiPriority w:val="99"/>
    <w:unhideWhenUsed/>
    <w:rsid w:val="00980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05FC"/>
  </w:style>
  <w:style w:type="paragraph" w:styleId="NormalWeb">
    <w:name w:val="Normal (Web)"/>
    <w:basedOn w:val="Normal"/>
    <w:uiPriority w:val="99"/>
    <w:semiHidden/>
    <w:unhideWhenUsed/>
    <w:rsid w:val="00A8741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F442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2D1"/>
    <w:rPr>
      <w:sz w:val="20"/>
      <w:szCs w:val="20"/>
    </w:rPr>
  </w:style>
  <w:style w:type="character" w:styleId="FootnoteReference">
    <w:name w:val="footnote reference"/>
    <w:basedOn w:val="DefaultParagraphFont"/>
    <w:uiPriority w:val="99"/>
    <w:semiHidden/>
    <w:unhideWhenUsed/>
    <w:rsid w:val="00F442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E2B89-B27F-4FD3-AC9A-C7162F51C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3162</Words>
  <Characters>18025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Rivera</dc:creator>
  <cp:keywords/>
  <dc:description/>
  <cp:lastModifiedBy>Dennis Rivera</cp:lastModifiedBy>
  <cp:revision>2</cp:revision>
  <dcterms:created xsi:type="dcterms:W3CDTF">2026-08-17T16:27:00Z</dcterms:created>
  <dcterms:modified xsi:type="dcterms:W3CDTF">2026-08-17T16:27:00Z</dcterms:modified>
</cp:coreProperties>
</file>