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AE0BE" w14:textId="77777777" w:rsidR="00B51109" w:rsidRDefault="009805FC" w:rsidP="009805FC">
      <w:r>
        <w:t xml:space="preserve">ADVANCED ALPHA ADVISERS, LLC- </w:t>
      </w:r>
    </w:p>
    <w:p w14:paraId="00FCBF61" w14:textId="77777777" w:rsidR="009805FC" w:rsidRDefault="009805FC" w:rsidP="009805FC">
      <w:pPr>
        <w:pStyle w:val="NoSpacing"/>
      </w:pPr>
      <w:r>
        <w:t>Research Note</w:t>
      </w:r>
    </w:p>
    <w:p w14:paraId="7B46A45B" w14:textId="77777777" w:rsidR="009805FC" w:rsidRDefault="009805FC" w:rsidP="009805FC">
      <w:pPr>
        <w:pStyle w:val="NoSpacing"/>
      </w:pPr>
      <w:r>
        <w:t>(Informational – Not Investment Advice)</w:t>
      </w:r>
    </w:p>
    <w:p w14:paraId="601C3922" w14:textId="77777777" w:rsidR="009805FC" w:rsidRDefault="009805FC" w:rsidP="009805FC">
      <w:pPr>
        <w:pStyle w:val="NoSpacing"/>
      </w:pPr>
    </w:p>
    <w:p w14:paraId="35C8BF52" w14:textId="77777777" w:rsidR="000F030A" w:rsidRPr="000F030A" w:rsidRDefault="000F030A" w:rsidP="000F030A">
      <w:pPr>
        <w:pStyle w:val="NoSpacing"/>
      </w:pPr>
      <w:r>
        <w:t>Prediction Markets on the Futures Marketplace: The CFTC's Emerging Regulatory Framework and Its Implications for Derivatives Market Structure</w:t>
      </w:r>
    </w:p>
    <w:p w14:paraId="71606AD4" w14:textId="77777777" w:rsidR="009805FC" w:rsidRDefault="009805FC" w:rsidP="009805FC">
      <w:pPr>
        <w:pStyle w:val="NoSpacing"/>
      </w:pPr>
      <w:r>
        <w:t>Date: August 27, 2026</w:t>
      </w:r>
    </w:p>
    <w:p w14:paraId="1AEF3025" w14:textId="77777777" w:rsidR="009805FC" w:rsidRDefault="009805FC" w:rsidP="009805FC">
      <w:pPr>
        <w:pStyle w:val="NoSpacing"/>
      </w:pPr>
      <w:r>
        <w:t>Author: George Criezis, Research Associate</w:t>
      </w:r>
    </w:p>
    <w:p w14:paraId="6516A8EC" w14:textId="77777777" w:rsidR="009805FC" w:rsidRDefault="009805FC" w:rsidP="009805FC"/>
    <w:p w14:paraId="315B4964" w14:textId="77777777" w:rsidR="009805FC" w:rsidRDefault="009805FC" w:rsidP="009805FC">
      <w:pPr>
        <w:pStyle w:val="NoSpacing"/>
        <w:rPr>
          <w:b/>
          <w:bCs/>
        </w:rPr>
      </w:pPr>
      <w:r>
        <w:rPr>
          <w:b/>
          <w:bCs/>
        </w:rPr>
        <w:t>Executive Summary</w:t>
      </w:r>
    </w:p>
    <w:p w14:paraId="161B4B23" w14:textId="77777777" w:rsidR="00DC2E7F" w:rsidRPr="00DC2E7F" w:rsidRDefault="00DC2E7F" w:rsidP="009805FC">
      <w:pPr>
        <w:pStyle w:val="NoSpacing"/>
        <w:rPr>
          <w:b/>
          <w:bCs/>
        </w:rPr>
      </w:pPr>
    </w:p>
    <w:p w14:paraId="301E2DF8" w14:textId="77777777" w:rsidR="004D45C3" w:rsidRDefault="00765182" w:rsidP="009805FC">
      <w:pPr>
        <w:pStyle w:val="NoSpacing"/>
      </w:pPr>
      <w:r>
        <w:t xml:space="preserve">The future of event contracts is here, and it is expanding rapidly. Prediction market enterprises are taking notice of many retail and institutional traders, but what does it mean </w:t>
      </w:r>
      <w:proofErr w:type="gramStart"/>
      <w:r>
        <w:t>for</w:t>
      </w:r>
      <w:proofErr w:type="gramEnd"/>
      <w:r>
        <w:t xml:space="preserve"> the Commodity Futures Trading Commission (CFTC)? How can </w:t>
      </w:r>
      <w:proofErr w:type="gramStart"/>
      <w:r>
        <w:t>the CFTC</w:t>
      </w:r>
      <w:proofErr w:type="gramEnd"/>
      <w:r>
        <w:t xml:space="preserve"> tackle the key issues prediction markets impose? </w:t>
      </w:r>
    </w:p>
    <w:p w14:paraId="10D65C09" w14:textId="77777777" w:rsidR="003A73F0" w:rsidRDefault="003A73F0" w:rsidP="009805FC">
      <w:pPr>
        <w:pStyle w:val="NoSpacing"/>
      </w:pPr>
    </w:p>
    <w:p w14:paraId="0A95900D" w14:textId="77777777" w:rsidR="003A73F0" w:rsidRDefault="007F19C2" w:rsidP="009805FC">
      <w:pPr>
        <w:pStyle w:val="NoSpacing"/>
      </w:pPr>
      <w:r>
        <w:t>With roughly a 2,300% increase in market growth in event contracts between June 2024 and April 2026, event contracts may be playing an increasing role in the existing U.S. derivatives framework rather than operating as a separate asset class.</w:t>
      </w:r>
    </w:p>
    <w:p w14:paraId="26C400D7" w14:textId="77777777" w:rsidR="00C34D53" w:rsidRDefault="00C34D53" w:rsidP="009805FC">
      <w:pPr>
        <w:pStyle w:val="NoSpacing"/>
      </w:pPr>
    </w:p>
    <w:p w14:paraId="486101D6" w14:textId="77777777" w:rsidR="00C34D53" w:rsidRDefault="00295DE3" w:rsidP="009805FC">
      <w:pPr>
        <w:pStyle w:val="NoSpacing"/>
      </w:pPr>
      <w:r>
        <w:t>In June 2026, the CFTC issued a notice of proposed rulemaking to amend Regulation 40.11 to establish a formalized framework to integrate event contracts into the existing derivatives market infrastructure.</w:t>
      </w:r>
      <w:r>
        <w:rPr>
          <w:rStyle w:val="FootnoteReference"/>
        </w:rPr>
        <w:footnoteReference w:id="1"/>
      </w:r>
      <w:r>
        <w:t xml:space="preserve"> </w:t>
      </w:r>
      <w:r>
        <w:br/>
      </w:r>
      <w:r>
        <w:br/>
        <w:t>And the impact? Event contracts trade on CFTC-regulated Designated Contract Markets (DCMs) alongside standard futures. Bilateral counterparty risk is eliminated. Binary payouts become preferred. Federal oversight is imposed.</w:t>
      </w:r>
    </w:p>
    <w:p w14:paraId="4C903E64" w14:textId="77777777" w:rsidR="0026570C" w:rsidRDefault="0026570C" w:rsidP="009805FC">
      <w:pPr>
        <w:pStyle w:val="NoSpacing"/>
      </w:pPr>
    </w:p>
    <w:p w14:paraId="54B65F63" w14:textId="77777777" w:rsidR="0092002F" w:rsidRDefault="00E67B15" w:rsidP="009805FC">
      <w:pPr>
        <w:pStyle w:val="NoSpacing"/>
      </w:pPr>
      <w:r>
        <w:t>This impacts volatility greatly. Since outcomes are strictly binary, $0.00 to $1.00, prices move abruptly with full collateral upfront, with institutional market makers tying prediction markets directly to traditional options, swaps, and futures.</w:t>
      </w:r>
    </w:p>
    <w:p w14:paraId="737649BB" w14:textId="77777777" w:rsidR="008F21A1" w:rsidRDefault="008F21A1" w:rsidP="009805FC">
      <w:pPr>
        <w:pStyle w:val="NoSpacing"/>
      </w:pPr>
    </w:p>
    <w:p w14:paraId="1BF772F0" w14:textId="77777777" w:rsidR="008F21A1" w:rsidRDefault="003C4640" w:rsidP="009805FC">
      <w:pPr>
        <w:pStyle w:val="NoSpacing"/>
      </w:pPr>
      <w:r>
        <w:t>With this integration comes risks, however these event contracts now fall under full CFTC enforcement, meaning fraud, insider trading, and price manipulation are illegal and monitored in real time.</w:t>
      </w:r>
      <w:r>
        <w:rPr>
          <w:rStyle w:val="FootnoteReference"/>
        </w:rPr>
        <w:footnoteReference w:id="2"/>
      </w:r>
    </w:p>
    <w:p w14:paraId="7F011928" w14:textId="77777777" w:rsidR="009805FC" w:rsidRDefault="009805FC" w:rsidP="009805FC">
      <w:pPr>
        <w:pStyle w:val="NoSpacing"/>
      </w:pPr>
    </w:p>
    <w:p w14:paraId="682F07AB" w14:textId="77777777" w:rsidR="009805FC" w:rsidRPr="00DC2E7F" w:rsidRDefault="009805FC" w:rsidP="009805FC">
      <w:pPr>
        <w:pStyle w:val="NoSpacing"/>
        <w:rPr>
          <w:b/>
          <w:bCs/>
        </w:rPr>
      </w:pPr>
      <w:r>
        <w:rPr>
          <w:b/>
          <w:bCs/>
        </w:rPr>
        <w:t>1. Event Overview</w:t>
      </w:r>
    </w:p>
    <w:p w14:paraId="6F4619F0" w14:textId="77777777" w:rsidR="009805FC" w:rsidRDefault="009805FC" w:rsidP="009805FC">
      <w:pPr>
        <w:pStyle w:val="NoSpacing"/>
      </w:pPr>
    </w:p>
    <w:p w14:paraId="6F5DFED3" w14:textId="77777777" w:rsidR="009F4D79" w:rsidRDefault="009F4D79" w:rsidP="009805FC">
      <w:pPr>
        <w:pStyle w:val="NoSpacing"/>
      </w:pPr>
      <w:r>
        <w:t>To understand the timeline that sets the future of prediction markets, it is important to understand what it means and who are the main players.</w:t>
      </w:r>
      <w:r>
        <w:br/>
      </w:r>
      <w:r>
        <w:br/>
        <w:t>A prediction market is a financial exchange where participants trade contracts based on the outcome of future events. Instead of trading shares or physical commodities, participants choose between binary “Yes” or “No” options on real-world outcomes anywhere from sports to politics to even science. As of 2026, Kalshi remains as the dominant U.S. platform that has set precedent, paving the way for the future of DCMs.</w:t>
      </w:r>
    </w:p>
    <w:p w14:paraId="0405E190" w14:textId="77777777" w:rsidR="00F414F6" w:rsidRDefault="00F414F6" w:rsidP="009805FC">
      <w:pPr>
        <w:pStyle w:val="NoSpacing"/>
      </w:pPr>
    </w:p>
    <w:p w14:paraId="70AAFCFE" w14:textId="77777777" w:rsidR="0009504B" w:rsidRDefault="006E3025" w:rsidP="009805FC">
      <w:pPr>
        <w:pStyle w:val="NoSpacing"/>
      </w:pPr>
      <w:r>
        <w:t>In September 2024, there lies a court precedent. The U.S. District court decides against the CFTC’s ban on Kalshi’s election contracts. This increases an already surging prediction of market listing activity.</w:t>
      </w:r>
    </w:p>
    <w:p w14:paraId="6AB89881" w14:textId="77777777" w:rsidR="00E13FBE" w:rsidRDefault="00E13FBE" w:rsidP="009805FC">
      <w:pPr>
        <w:pStyle w:val="NoSpacing"/>
      </w:pPr>
    </w:p>
    <w:p w14:paraId="46BF6CFF" w14:textId="77777777" w:rsidR="00E13FBE" w:rsidRDefault="00E13FBE" w:rsidP="009805FC">
      <w:pPr>
        <w:pStyle w:val="NoSpacing"/>
      </w:pPr>
      <w:r>
        <w:t>May 2025, the CFTC formally dismisses its court appeal against Kalshi. This gives the opportunity for recognition under federal derivatives law.</w:t>
      </w:r>
    </w:p>
    <w:p w14:paraId="38C54E33" w14:textId="77777777" w:rsidR="0088454D" w:rsidRDefault="0088454D" w:rsidP="009805FC">
      <w:pPr>
        <w:pStyle w:val="NoSpacing"/>
      </w:pPr>
    </w:p>
    <w:p w14:paraId="0455D306" w14:textId="77777777" w:rsidR="0088454D" w:rsidRDefault="0088454D" w:rsidP="009805FC">
      <w:pPr>
        <w:pStyle w:val="NoSpacing"/>
      </w:pPr>
      <w:r>
        <w:t>March 2026, the CFTC begins its initial framework and proposed rulemaking to build a unified, nationwide regulatory structure for prediction markets.</w:t>
      </w:r>
    </w:p>
    <w:p w14:paraId="6B8D2E25" w14:textId="77777777" w:rsidR="00006719" w:rsidRDefault="00006719" w:rsidP="009805FC">
      <w:pPr>
        <w:pStyle w:val="NoSpacing"/>
      </w:pPr>
    </w:p>
    <w:p w14:paraId="22303EA6" w14:textId="77777777" w:rsidR="00006719" w:rsidRDefault="00006719" w:rsidP="002B4F00">
      <w:pPr>
        <w:pStyle w:val="NoSpacing"/>
      </w:pPr>
      <w:r>
        <w:t>April 2026, the total volume for prediction markets amasses ~$24 billion, up from ~$1 billion in June 2024.</w:t>
      </w:r>
      <w:r>
        <w:rPr>
          <w:rStyle w:val="FootnoteReference"/>
        </w:rPr>
        <w:footnoteReference w:id="3"/>
      </w:r>
      <w:r>
        <w:t xml:space="preserve"> The appeals courts also ruled in favor of Kalshi meaning states cannot ban platforms as such because Federal regulators view them as legal financial derivatives. As a result, the CFTC planned to sue states who attempted to ban/restrict prediction platforms as they are now federally oversighted exchanges.</w:t>
      </w:r>
      <w:r>
        <w:br/>
      </w:r>
      <w:r>
        <w:br/>
        <w:t xml:space="preserve">June 10-12, 2026, CFTC proposed amendments to Rule 40.11. A 3-step analytical framework to review prediction contracts. </w:t>
      </w:r>
    </w:p>
    <w:p w14:paraId="2FE02DDD" w14:textId="77777777" w:rsidR="00D6073D" w:rsidRDefault="00D6073D" w:rsidP="002B4F00">
      <w:pPr>
        <w:pStyle w:val="NoSpacing"/>
      </w:pPr>
    </w:p>
    <w:p w14:paraId="464C3CAB" w14:textId="77777777" w:rsidR="002B4F00" w:rsidRDefault="00180158" w:rsidP="002B4F00">
      <w:pPr>
        <w:pStyle w:val="NoSpacing"/>
      </w:pPr>
      <w:r>
        <w:t>August 2026, the CFTC issued emergency orders for platforms like Kalshi to continue operations under federal supervision.</w:t>
      </w:r>
      <w:r>
        <w:rPr>
          <w:rStyle w:val="FootnoteReference"/>
        </w:rPr>
        <w:footnoteReference w:id="4"/>
      </w:r>
      <w:r>
        <w:t xml:space="preserve"> Some states tried to block operations.</w:t>
      </w:r>
      <w:r>
        <w:rPr>
          <w:rStyle w:val="FootnoteReference"/>
        </w:rPr>
        <w:footnoteReference w:id="5"/>
      </w:r>
      <w:r>
        <w:t xml:space="preserve"> </w:t>
      </w:r>
    </w:p>
    <w:p w14:paraId="75C04D9A" w14:textId="77777777" w:rsidR="009805FC" w:rsidRDefault="009805FC" w:rsidP="009805FC">
      <w:pPr>
        <w:pStyle w:val="NoSpacing"/>
      </w:pPr>
    </w:p>
    <w:p w14:paraId="6D6DF2D8" w14:textId="77777777" w:rsidR="009805FC" w:rsidRPr="00DC2E7F" w:rsidRDefault="009805FC" w:rsidP="009805FC">
      <w:pPr>
        <w:pStyle w:val="NoSpacing"/>
        <w:rPr>
          <w:b/>
          <w:bCs/>
        </w:rPr>
      </w:pPr>
      <w:r>
        <w:rPr>
          <w:b/>
          <w:bCs/>
        </w:rPr>
        <w:t>2. Proposed CFTC Rule 40.11: Analytical Framework &amp; Contract Scrutiny</w:t>
      </w:r>
    </w:p>
    <w:p w14:paraId="2E0A49DF" w14:textId="77777777" w:rsidR="00563D67" w:rsidRDefault="00563D67" w:rsidP="009805FC">
      <w:pPr>
        <w:pStyle w:val="NoSpacing"/>
      </w:pPr>
    </w:p>
    <w:p w14:paraId="5BC0BE29" w14:textId="77777777" w:rsidR="00563D67" w:rsidRDefault="00563D67" w:rsidP="009805FC">
      <w:pPr>
        <w:pStyle w:val="NoSpacing"/>
      </w:pPr>
      <w:r>
        <w:t>Not all contracts come under major scrutiny. Sports outcome contracts are largely permitted, while political/gaming-adjacent contracts face more oversight.</w:t>
      </w:r>
    </w:p>
    <w:p w14:paraId="0C4C160C" w14:textId="77777777" w:rsidR="00430A74" w:rsidRDefault="00430A74" w:rsidP="009805FC">
      <w:pPr>
        <w:pStyle w:val="NoSpacing"/>
      </w:pPr>
    </w:p>
    <w:p w14:paraId="5DF67418" w14:textId="77777777" w:rsidR="00430A74" w:rsidRDefault="00430A74" w:rsidP="009805FC">
      <w:pPr>
        <w:pStyle w:val="NoSpacing"/>
      </w:pPr>
      <w:r>
        <w:t>Why is this? Sport outcomes are objective and settle on aggregate, verified outcomes. There is legitimate price discovery and hedging with narrow exclusions.</w:t>
      </w:r>
    </w:p>
    <w:p w14:paraId="52D09D3A" w14:textId="77777777" w:rsidR="00FE7122" w:rsidRDefault="00FE7122" w:rsidP="009805FC">
      <w:pPr>
        <w:pStyle w:val="NoSpacing"/>
      </w:pPr>
    </w:p>
    <w:p w14:paraId="282C921D" w14:textId="77777777" w:rsidR="00FE7122" w:rsidRDefault="009868EB" w:rsidP="009805FC">
      <w:pPr>
        <w:pStyle w:val="NoSpacing"/>
      </w:pPr>
      <w:r>
        <w:t>Other event contracts involving politics, for example, carry severe risks of misinformation, insider trading, distortion, and lack of hedging utility.</w:t>
      </w:r>
    </w:p>
    <w:p w14:paraId="50EE266B" w14:textId="77777777" w:rsidR="009D5390" w:rsidRDefault="009D5390" w:rsidP="009805FC">
      <w:pPr>
        <w:pStyle w:val="NoSpacing"/>
      </w:pPr>
    </w:p>
    <w:p w14:paraId="5B44C670" w14:textId="77777777" w:rsidR="0087765C" w:rsidRDefault="00A564C3" w:rsidP="009805FC">
      <w:pPr>
        <w:pStyle w:val="NoSpacing"/>
      </w:pPr>
      <w:r>
        <w:t>While Rule 40.11 is only ‘proposed’ as of August 2026, we can examine the 3-part analytical test to determine if it qualifies legally:</w:t>
      </w:r>
      <w:r>
        <w:rPr>
          <w:rStyle w:val="FootnoteReference"/>
        </w:rPr>
        <w:footnoteReference w:id="6"/>
      </w:r>
    </w:p>
    <w:p w14:paraId="787DA248" w14:textId="77777777" w:rsidR="00FE1483" w:rsidRDefault="00FE1483" w:rsidP="009805FC">
      <w:pPr>
        <w:pStyle w:val="NoSpacing"/>
      </w:pPr>
    </w:p>
    <w:p w14:paraId="06C79E12" w14:textId="77777777" w:rsidR="00FE1483" w:rsidRDefault="00BE57CC" w:rsidP="00FE1483">
      <w:pPr>
        <w:pStyle w:val="NoSpacing"/>
        <w:numPr>
          <w:ilvl w:val="0"/>
          <w:numId w:val="3"/>
        </w:numPr>
      </w:pPr>
      <w:r>
        <w:t>First, is it an event contract? Does it rely on a specific real-world event (like who wins a sports game) rather than normal market prices (like futures)?</w:t>
      </w:r>
    </w:p>
    <w:p w14:paraId="3307BA08" w14:textId="77777777" w:rsidR="00CA1A44" w:rsidRPr="00CA1A44" w:rsidRDefault="0065040D" w:rsidP="00CA1A44">
      <w:pPr>
        <w:pStyle w:val="NoSpacing"/>
        <w:numPr>
          <w:ilvl w:val="0"/>
          <w:numId w:val="3"/>
        </w:numPr>
      </w:pPr>
      <w:r>
        <w:t>Second, is it directed towards enumerated activities (unlawful activity, terrorism, assassination, war, gaming)?</w:t>
      </w:r>
    </w:p>
    <w:p w14:paraId="4A78A62A" w14:textId="77777777" w:rsidR="0065040D" w:rsidRDefault="00CA1A44" w:rsidP="00FE1483">
      <w:pPr>
        <w:pStyle w:val="NoSpacing"/>
        <w:numPr>
          <w:ilvl w:val="0"/>
          <w:numId w:val="3"/>
        </w:numPr>
      </w:pPr>
      <w:r>
        <w:t>Third, is it contrary to public interest and the regulatory goals of the Commodity Exchange Act (CEA), which gives the CFTC authority over DCMs?</w:t>
      </w:r>
    </w:p>
    <w:p w14:paraId="118B6A42" w14:textId="77777777" w:rsidR="00323245" w:rsidRDefault="00323245" w:rsidP="00323245">
      <w:pPr>
        <w:pStyle w:val="NoSpacing"/>
      </w:pPr>
    </w:p>
    <w:p w14:paraId="2C782704" w14:textId="77777777" w:rsidR="00323245" w:rsidRDefault="00B43C8E" w:rsidP="00323245">
      <w:pPr>
        <w:pStyle w:val="NoSpacing"/>
      </w:pPr>
      <w:r>
        <w:t>Although currently in the reviewing and drafting phase, we can reflect on the cost-benefit of proposing as such and expect a final publication between late Fall 2026 and early 2027. Once enacted, this includes a 60-day grace period before going into full effect.</w:t>
      </w:r>
    </w:p>
    <w:p w14:paraId="187D9168" w14:textId="77777777" w:rsidR="004C6E96" w:rsidRDefault="004C6E96" w:rsidP="009805FC">
      <w:pPr>
        <w:pStyle w:val="NoSpacing"/>
      </w:pPr>
    </w:p>
    <w:p w14:paraId="24400B2A" w14:textId="77777777" w:rsidR="009D5390" w:rsidRPr="00DC2E7F" w:rsidRDefault="00310B98" w:rsidP="009805FC">
      <w:pPr>
        <w:pStyle w:val="NoSpacing"/>
        <w:rPr>
          <w:b/>
          <w:bCs/>
        </w:rPr>
      </w:pPr>
      <w:r>
        <w:rPr>
          <w:b/>
          <w:bCs/>
        </w:rPr>
        <w:t>3. Integration Alongside Traditional Infrastructure</w:t>
      </w:r>
    </w:p>
    <w:p w14:paraId="47F90F91" w14:textId="77777777" w:rsidR="009805FC" w:rsidRDefault="009805FC" w:rsidP="009805FC">
      <w:pPr>
        <w:pStyle w:val="NoSpacing"/>
      </w:pPr>
    </w:p>
    <w:p w14:paraId="38D70831" w14:textId="77777777" w:rsidR="00CF5DB9" w:rsidRDefault="00F64B3D" w:rsidP="009805FC">
      <w:pPr>
        <w:pStyle w:val="NoSpacing"/>
      </w:pPr>
      <w:r>
        <w:t>How will event contracts sit alongside traditional futures/swaps on the same infrastructure?</w:t>
      </w:r>
    </w:p>
    <w:p w14:paraId="2C620376" w14:textId="77777777" w:rsidR="00472106" w:rsidRDefault="00472106" w:rsidP="009805FC">
      <w:pPr>
        <w:pStyle w:val="NoSpacing"/>
      </w:pPr>
    </w:p>
    <w:p w14:paraId="472BA088" w14:textId="77777777" w:rsidR="00472106" w:rsidRDefault="00472106" w:rsidP="009805FC">
      <w:pPr>
        <w:pStyle w:val="NoSpacing"/>
      </w:pPr>
      <w:r>
        <w:t>They will trade on CFTC-regulated exchanges (DCMs) alongside standard futures via order books. Requires 100% upfront collateral, no margin calls and supervised by CFTC and NFA.</w:t>
      </w:r>
    </w:p>
    <w:p w14:paraId="6FBA5300" w14:textId="77777777" w:rsidR="0057188B" w:rsidRDefault="0057188B" w:rsidP="009805FC">
      <w:pPr>
        <w:pStyle w:val="NoSpacing"/>
      </w:pPr>
    </w:p>
    <w:p w14:paraId="5A0F1FC8" w14:textId="77777777" w:rsidR="0057188B" w:rsidRDefault="0057188B" w:rsidP="009805FC">
      <w:pPr>
        <w:pStyle w:val="NoSpacing"/>
      </w:pPr>
      <w:r>
        <w:t>They will be subject to the same CEA anti-fraud and anti-manipulation laws (Rule 180.1). Carries equal penalties for insider trading, wash trading, etc.</w:t>
      </w:r>
    </w:p>
    <w:p w14:paraId="1143345E" w14:textId="77777777" w:rsidR="00B759C2" w:rsidRDefault="00B759C2" w:rsidP="009805FC">
      <w:pPr>
        <w:pStyle w:val="NoSpacing"/>
      </w:pPr>
    </w:p>
    <w:p w14:paraId="5A3CC586" w14:textId="77777777" w:rsidR="00B759C2" w:rsidRDefault="00095045" w:rsidP="009805FC">
      <w:pPr>
        <w:pStyle w:val="NoSpacing"/>
      </w:pPr>
      <w:r>
        <w:t>Exchanges will run real-time automated trade surveillance.</w:t>
      </w:r>
    </w:p>
    <w:p w14:paraId="68729B8A" w14:textId="77777777" w:rsidR="00564183" w:rsidRDefault="00564183" w:rsidP="009805FC">
      <w:pPr>
        <w:pStyle w:val="NoSpacing"/>
      </w:pPr>
    </w:p>
    <w:p w14:paraId="0FC5F2A0" w14:textId="77777777" w:rsidR="00564183" w:rsidRDefault="00564183" w:rsidP="009805FC">
      <w:pPr>
        <w:pStyle w:val="NoSpacing"/>
      </w:pPr>
      <w:r>
        <w:t>What are the implications? CTAs rely on trend-following and momentum systems with daily mark-to-market margin. Prediction markets are binary payoffs ($0/$1). They offer uncorrelated returns; not broad market beta. Regulatory framework is established under CEA; ongoing legal battles with state laws on bans create friction.</w:t>
      </w:r>
    </w:p>
    <w:p w14:paraId="37F99069" w14:textId="77777777" w:rsidR="00F130B4" w:rsidRDefault="00F130B4" w:rsidP="009805FC">
      <w:pPr>
        <w:pStyle w:val="NoSpacing"/>
      </w:pPr>
    </w:p>
    <w:p w14:paraId="7C25CD07" w14:textId="77777777" w:rsidR="00F96568" w:rsidRPr="00F96568" w:rsidRDefault="00F96568" w:rsidP="00F96568">
      <w:pPr>
        <w:pStyle w:val="NoSpacing"/>
      </w:pPr>
      <w:r>
        <w:t>Is this something CTAs could adopt or is it structurally distinct from futures trading?</w:t>
      </w:r>
    </w:p>
    <w:p w14:paraId="51379149" w14:textId="77777777" w:rsidR="00F130B4" w:rsidRDefault="00F130B4" w:rsidP="009805FC">
      <w:pPr>
        <w:pStyle w:val="NoSpacing"/>
      </w:pPr>
    </w:p>
    <w:p w14:paraId="730A25DE" w14:textId="17B3C15F" w:rsidR="009805FC" w:rsidRDefault="00C477E6" w:rsidP="005E4893">
      <w:pPr>
        <w:pStyle w:val="NoSpacing"/>
      </w:pPr>
      <w:r>
        <w:t>For core strategy, less likely. For niche overlays, absolutely. Trend-following algorithms will have a hard time running with binary payouts. However, CTA’s can use them independently as a unique way to profit from specific events.</w:t>
      </w:r>
    </w:p>
    <w:p w14:paraId="45290B2B" w14:textId="77777777" w:rsidR="005E4893" w:rsidRDefault="005E4893" w:rsidP="005E4893">
      <w:pPr>
        <w:pStyle w:val="NoSpacing"/>
      </w:pPr>
    </w:p>
    <w:p w14:paraId="675BB972" w14:textId="77777777" w:rsidR="009805FC" w:rsidRPr="00DC2E7F" w:rsidRDefault="00DC2E7F" w:rsidP="009805FC">
      <w:pPr>
        <w:pStyle w:val="NoSpacing"/>
        <w:rPr>
          <w:b/>
          <w:bCs/>
        </w:rPr>
      </w:pPr>
      <w:r>
        <w:rPr>
          <w:b/>
          <w:bCs/>
        </w:rPr>
        <w:t>4. Conclusion</w:t>
      </w:r>
    </w:p>
    <w:p w14:paraId="44E637BC" w14:textId="77777777" w:rsidR="00694052" w:rsidRDefault="00694052" w:rsidP="009805FC">
      <w:pPr>
        <w:pStyle w:val="NoSpacing"/>
      </w:pPr>
    </w:p>
    <w:p w14:paraId="4EF501A9" w14:textId="77777777" w:rsidR="009805FC" w:rsidRDefault="00D175C0" w:rsidP="009805FC">
      <w:r>
        <w:t>The CFTC’s proposed Rule 40.11 highlights the expansion of integrating prediction markets among the CTA space while attempting to balance legal implications and enforcing strict protections. With the final July 27</w:t>
      </w:r>
      <w:r>
        <w:rPr>
          <w:vertAlign w:val="superscript"/>
        </w:rPr>
        <w:t>th</w:t>
      </w:r>
      <w:r>
        <w:t xml:space="preserve"> comment period closed, the CFTC must review public feedback when drafting a final rule: a process willing to take several months. As prediction market volume grows, clear federal standards must be enforced for institutional adoption, though market participants will need to be active in tackling the friction between ongoing legal uncertainty even after the rules are finalized.</w:t>
      </w:r>
    </w:p>
    <w:p w14:paraId="284D8C7C" w14:textId="77777777" w:rsidR="00FB23C8" w:rsidRPr="00FB23C8" w:rsidRDefault="00FB23C8" w:rsidP="009805FC">
      <w:pPr>
        <w:rPr>
          <w:b/>
          <w:bCs/>
        </w:rPr>
      </w:pPr>
      <w:r>
        <w:rPr>
          <w:b/>
          <w:bCs/>
        </w:rPr>
        <w:t>Data Sources</w:t>
      </w:r>
    </w:p>
    <w:p w14:paraId="5E7854C5" w14:textId="00298D19" w:rsidR="00684455" w:rsidRDefault="008F7AE7">
      <w:pPr>
        <w:pStyle w:val="NoSpacing"/>
      </w:pPr>
      <w:r>
        <w:t xml:space="preserve">1. CFTC, "CFTC Seeks Public Comment on Notice of Proposed Rulemaking Concerning Event Contracts Involving Enumerated Activities," Release No. 9249-26 (June 10, 2026), </w:t>
      </w:r>
      <w:hyperlink r:id="rId7" w:history="1">
        <w:r w:rsidR="00684455" w:rsidRPr="00587193">
          <w:rPr>
            <w:rStyle w:val="Hyperlink"/>
          </w:rPr>
          <w:t>https://www.cftc.gov/PressRoom/PressReleases/9249-26</w:t>
        </w:r>
      </w:hyperlink>
      <w:r>
        <w:t>.</w:t>
      </w:r>
    </w:p>
    <w:p w14:paraId="74C8CAB3" w14:textId="4BE70760" w:rsidR="00994004" w:rsidRDefault="008F7AE7">
      <w:pPr>
        <w:pStyle w:val="NoSpacing"/>
      </w:pPr>
      <w:r>
        <w:t xml:space="preserve">2. CFTC, "CFTC Enforcement Division Issues Prediction Markets Advisory," Release No. 9185-26 (Feb. 25, 2026), </w:t>
      </w:r>
      <w:hyperlink r:id="rId8" w:history="1">
        <w:r w:rsidR="00684455" w:rsidRPr="00587193">
          <w:rPr>
            <w:rStyle w:val="Hyperlink"/>
          </w:rPr>
          <w:t>https://www.cftc.gov/PressRoom/PressReleases/9185-26</w:t>
        </w:r>
      </w:hyperlink>
      <w:r>
        <w:t>.</w:t>
      </w:r>
    </w:p>
    <w:p w14:paraId="561534DB" w14:textId="0712B3DE" w:rsidR="00994004" w:rsidRDefault="008F7AE7">
      <w:pPr>
        <w:pStyle w:val="NoSpacing"/>
      </w:pPr>
      <w:r>
        <w:t xml:space="preserve">3. CFTC, "CFTC Exercises Emergency Authority to Ensure Market Stability," Release No. 9281-26 (Aug. 11, 2026), </w:t>
      </w:r>
      <w:hyperlink r:id="rId9" w:history="1">
        <w:r w:rsidR="00684455" w:rsidRPr="00587193">
          <w:rPr>
            <w:rStyle w:val="Hyperlink"/>
          </w:rPr>
          <w:t>https://www.cftc.gov/PressRoom/PressReleases/9281-26</w:t>
        </w:r>
      </w:hyperlink>
      <w:r>
        <w:t>.</w:t>
      </w:r>
    </w:p>
    <w:p w14:paraId="06998AE8" w14:textId="14654E80" w:rsidR="00994004" w:rsidRDefault="008F7AE7">
      <w:pPr>
        <w:pStyle w:val="NoSpacing"/>
      </w:pPr>
      <w:r>
        <w:t xml:space="preserve">4. Pew Research Center, "Trading Volume on Prediction Markets Has Soared in Recent Months" (May 27, 2026), </w:t>
      </w:r>
      <w:hyperlink r:id="rId10" w:history="1">
        <w:r w:rsidR="00684455" w:rsidRPr="00587193">
          <w:rPr>
            <w:rStyle w:val="Hyperlink"/>
          </w:rPr>
          <w:t>https://www.pewresearch.org/short-reads/2026/05/27/trading-volume-on-prediction-markets-has-soared-in-recent-months/</w:t>
        </w:r>
      </w:hyperlink>
      <w:r>
        <w:t>.</w:t>
      </w:r>
    </w:p>
    <w:p w14:paraId="4B72957C" w14:textId="39BE4222" w:rsidR="00994004" w:rsidRDefault="008F7AE7">
      <w:pPr>
        <w:pStyle w:val="NoSpacing"/>
      </w:pPr>
      <w:r>
        <w:t xml:space="preserve">5. Yahoo Finance, "CFTC Steps </w:t>
      </w:r>
      <w:proofErr w:type="gramStart"/>
      <w:r>
        <w:t>In</w:t>
      </w:r>
      <w:proofErr w:type="gramEnd"/>
      <w:r>
        <w:t xml:space="preserve"> to Protect Kalshi as New York Pushes $36B Lawsuit," The Daily Wolf with Scott Melker (Aug. 2026), </w:t>
      </w:r>
      <w:hyperlink r:id="rId11" w:history="1">
        <w:r w:rsidR="00684455" w:rsidRPr="00587193">
          <w:rPr>
            <w:rStyle w:val="Hyperlink"/>
          </w:rPr>
          <w:t>https://finance.yahoo.com/video/cftc-steps-protect-kalshi-york-220000718.html</w:t>
        </w:r>
      </w:hyperlink>
      <w:r>
        <w:t>.</w:t>
      </w:r>
    </w:p>
    <w:p w14:paraId="05DDA086" w14:textId="3ECB1862" w:rsidR="00994004" w:rsidRDefault="008F7AE7">
      <w:pPr>
        <w:pStyle w:val="NoSpacing"/>
      </w:pPr>
      <w:r>
        <w:t xml:space="preserve">6. Congressional Research Service, "CFTC Issues Proposed Rule Regarding Prediction Markets," Legal Sidebar LSB11441, Library of Congress (June 2026), </w:t>
      </w:r>
      <w:hyperlink r:id="rId12" w:history="1">
        <w:r w:rsidR="00684455" w:rsidRPr="00587193">
          <w:rPr>
            <w:rStyle w:val="Hyperlink"/>
          </w:rPr>
          <w:t>https://www.congress.gov/crs-product/LSB11441</w:t>
        </w:r>
      </w:hyperlink>
      <w:r>
        <w:t>.</w:t>
      </w:r>
    </w:p>
    <w:p w14:paraId="183ED012" w14:textId="77777777" w:rsidR="00684455" w:rsidRDefault="00684455">
      <w:pPr>
        <w:pStyle w:val="NoSpacing"/>
      </w:pPr>
    </w:p>
    <w:p w14:paraId="4CD80E91" w14:textId="77777777" w:rsidR="005E4893" w:rsidRDefault="005E4893" w:rsidP="009805FC">
      <w:pPr>
        <w:pStyle w:val="NoSpacing"/>
        <w:rPr>
          <w:b/>
          <w:bCs/>
        </w:rPr>
      </w:pPr>
    </w:p>
    <w:p w14:paraId="2263EC6E" w14:textId="174BAA7C" w:rsidR="009805FC" w:rsidRPr="00FB23C8" w:rsidRDefault="009805FC" w:rsidP="009805FC">
      <w:pPr>
        <w:pStyle w:val="NoSpacing"/>
        <w:rPr>
          <w:b/>
          <w:bCs/>
        </w:rPr>
      </w:pPr>
      <w:r>
        <w:rPr>
          <w:b/>
          <w:bCs/>
        </w:rPr>
        <w:t>Disclosures</w:t>
      </w:r>
    </w:p>
    <w:p w14:paraId="6E71F0D4" w14:textId="77777777" w:rsidR="009805FC" w:rsidRDefault="009805FC" w:rsidP="009805FC">
      <w:pPr>
        <w:pStyle w:val="NoSpacing"/>
      </w:pPr>
    </w:p>
    <w:p w14:paraId="2430F00D" w14:textId="77777777" w:rsidR="009805FC" w:rsidRDefault="009805FC" w:rsidP="009805FC">
      <w:pPr>
        <w:pStyle w:val="NoSpacing"/>
      </w:pPr>
      <w:r>
        <w:t>Informational Use Only</w:t>
      </w:r>
    </w:p>
    <w:p w14:paraId="0475E018" w14:textId="77777777" w:rsidR="009805FC" w:rsidRDefault="009805FC" w:rsidP="009805FC">
      <w:pPr>
        <w:pStyle w:val="NoSpacing"/>
      </w:pPr>
      <w:r>
        <w:t>This material is for informational and educational purposes only and does not constitute investment advice, an offer to sell, or a solicitation to buy any security, futures contract, or investment product.</w:t>
      </w:r>
    </w:p>
    <w:p w14:paraId="3922A321" w14:textId="77777777" w:rsidR="009805FC" w:rsidRDefault="009805FC" w:rsidP="009805FC">
      <w:pPr>
        <w:pStyle w:val="NoSpacing"/>
      </w:pPr>
    </w:p>
    <w:p w14:paraId="00D8FB7D" w14:textId="77777777" w:rsidR="009805FC" w:rsidRDefault="009805FC" w:rsidP="009805FC">
      <w:pPr>
        <w:pStyle w:val="NoSpacing"/>
      </w:pPr>
      <w:r>
        <w:t>No Representation of Results</w:t>
      </w:r>
    </w:p>
    <w:p w14:paraId="1F349D5D" w14:textId="77777777" w:rsidR="009805FC" w:rsidRDefault="009805FC" w:rsidP="009805FC">
      <w:pPr>
        <w:pStyle w:val="NoSpacing"/>
      </w:pPr>
      <w:r>
        <w:t>Any discussion of market behavior or trading approaches is illustrative in nature and does not represent actual trading results or any specific account.</w:t>
      </w:r>
    </w:p>
    <w:p w14:paraId="4085C00B" w14:textId="77777777" w:rsidR="009805FC" w:rsidRDefault="009805FC" w:rsidP="009805FC">
      <w:pPr>
        <w:pStyle w:val="NoSpacing"/>
      </w:pPr>
      <w:r>
        <w:t>Risk Disclosure</w:t>
      </w:r>
    </w:p>
    <w:p w14:paraId="6625415E" w14:textId="77777777" w:rsidR="009805FC" w:rsidRDefault="009805FC" w:rsidP="009805FC">
      <w:pPr>
        <w:pStyle w:val="NoSpacing"/>
      </w:pPr>
      <w:proofErr w:type="gramStart"/>
      <w:r>
        <w:t>Futures and options trading</w:t>
      </w:r>
      <w:proofErr w:type="gramEnd"/>
      <w:r>
        <w:t xml:space="preserve"> </w:t>
      </w:r>
      <w:proofErr w:type="gramStart"/>
      <w:r>
        <w:t>involves</w:t>
      </w:r>
      <w:proofErr w:type="gramEnd"/>
      <w:r>
        <w:t xml:space="preserve"> substantial risk of loss and is not suitable for all investors. Past performance is not necessarily indicative of future results.</w:t>
      </w:r>
    </w:p>
    <w:p w14:paraId="3E49B3BA" w14:textId="77777777" w:rsidR="009D5390" w:rsidRDefault="009D5390" w:rsidP="009805FC">
      <w:pPr>
        <w:pStyle w:val="NoSpacing"/>
      </w:pPr>
    </w:p>
    <w:p w14:paraId="2C80B4B9" w14:textId="77777777" w:rsidR="009805FC" w:rsidRDefault="009805FC" w:rsidP="009805FC">
      <w:pPr>
        <w:pStyle w:val="NoSpacing"/>
      </w:pPr>
      <w:r>
        <w:t>Author Status</w:t>
      </w:r>
    </w:p>
    <w:p w14:paraId="60A1E1FD" w14:textId="77777777" w:rsidR="009805FC" w:rsidRDefault="009805FC" w:rsidP="009805FC">
      <w:pPr>
        <w:pStyle w:val="NoSpacing"/>
      </w:pPr>
      <w:r>
        <w:t>The author is a research associate and is not a registered investment advisor or commodity trading advisor representative.</w:t>
      </w:r>
    </w:p>
    <w:p w14:paraId="3D679D5F" w14:textId="77777777" w:rsidR="009805FC" w:rsidRDefault="009805FC" w:rsidP="009805FC">
      <w:pPr>
        <w:pStyle w:val="NoSpacing"/>
      </w:pPr>
    </w:p>
    <w:p w14:paraId="4B0D2605" w14:textId="77777777" w:rsidR="0000329A" w:rsidRPr="0000329A" w:rsidRDefault="0000329A" w:rsidP="0000329A">
      <w:pPr>
        <w:tabs>
          <w:tab w:val="left" w:pos="2948"/>
        </w:tabs>
      </w:pPr>
      <w:r>
        <w:tab/>
      </w:r>
    </w:p>
    <w:sectPr w:rsidR="0000329A" w:rsidRPr="0000329A">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CFFBC" w14:textId="77777777" w:rsidR="001F1996" w:rsidRDefault="001F1996" w:rsidP="009805FC">
      <w:pPr>
        <w:spacing w:after="0" w:line="240" w:lineRule="auto"/>
      </w:pPr>
      <w:r>
        <w:separator/>
      </w:r>
    </w:p>
  </w:endnote>
  <w:endnote w:type="continuationSeparator" w:id="0">
    <w:p w14:paraId="72442EEB" w14:textId="77777777" w:rsidR="001F1996" w:rsidRDefault="001F1996" w:rsidP="009805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87D0C" w14:textId="77777777" w:rsidR="009805FC" w:rsidRDefault="009805FC" w:rsidP="009805FC">
    <w:pPr>
      <w:pStyle w:val="Footer"/>
      <w:jc w:val="center"/>
    </w:pPr>
    <w:r>
      <w:t>Advanced Alpha Advisers, LLC</w:t>
    </w:r>
  </w:p>
  <w:p w14:paraId="72622E5E" w14:textId="77777777" w:rsidR="009805FC" w:rsidRDefault="009805FC" w:rsidP="009805FC">
    <w:pPr>
      <w:pStyle w:val="Footer"/>
      <w:jc w:val="center"/>
    </w:pPr>
    <w:r>
      <w:t>Registered Commodity Trading Advisor | NFA ID: 0505193</w:t>
    </w:r>
  </w:p>
  <w:p w14:paraId="3B99B366" w14:textId="77777777" w:rsidR="009805FC" w:rsidRDefault="009805FC" w:rsidP="009805FC">
    <w:pPr>
      <w:pStyle w:val="Footer"/>
      <w:jc w:val="center"/>
    </w:pPr>
    <w:r>
      <w:t>2 Overhill Rd, Suite 400, Scarsdale, NY 10583</w:t>
    </w:r>
  </w:p>
  <w:p w14:paraId="12843596" w14:textId="77777777" w:rsidR="009805FC" w:rsidRDefault="009805FC" w:rsidP="009805FC">
    <w:pPr>
      <w:pStyle w:val="Footer"/>
      <w:jc w:val="center"/>
    </w:pPr>
    <w:r>
      <w:t>www.advancedalphaadvisers.com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FC17D" w14:textId="77777777" w:rsidR="001F1996" w:rsidRDefault="001F1996" w:rsidP="009805FC">
      <w:pPr>
        <w:spacing w:after="0" w:line="240" w:lineRule="auto"/>
      </w:pPr>
      <w:r>
        <w:separator/>
      </w:r>
    </w:p>
  </w:footnote>
  <w:footnote w:type="continuationSeparator" w:id="0">
    <w:p w14:paraId="450161AA" w14:textId="77777777" w:rsidR="001F1996" w:rsidRDefault="001F1996" w:rsidP="009805FC">
      <w:pPr>
        <w:spacing w:after="0" w:line="240" w:lineRule="auto"/>
      </w:pPr>
      <w:r>
        <w:continuationSeparator/>
      </w:r>
    </w:p>
  </w:footnote>
  <w:footnote w:id="1">
    <w:p w14:paraId="39BCD4C8" w14:textId="77777777" w:rsidR="00994004" w:rsidRDefault="008F7AE7">
      <w:pPr>
        <w:pStyle w:val="FootnoteText"/>
      </w:pPr>
      <w:r>
        <w:rPr>
          <w:rStyle w:val="FootnoteReference"/>
        </w:rPr>
        <w:footnoteRef/>
      </w:r>
      <w:r>
        <w:t xml:space="preserve"> CFTC, "CFTC Seeks Public Comment on Notice of Proposed Rulemaking Concerning Event Contracts Involving Enumerated Activities," Release No. 9249-26 (June 10, 2026), https://www.cftc.gov/PressRoom/PressReleases/9249-26.</w:t>
      </w:r>
    </w:p>
  </w:footnote>
  <w:footnote w:id="2">
    <w:p w14:paraId="1C3BC317" w14:textId="77777777" w:rsidR="00994004" w:rsidRDefault="008F7AE7">
      <w:pPr>
        <w:pStyle w:val="FootnoteText"/>
      </w:pPr>
      <w:r>
        <w:rPr>
          <w:rStyle w:val="FootnoteReference"/>
        </w:rPr>
        <w:footnoteRef/>
      </w:r>
      <w:r>
        <w:t xml:space="preserve"> CFTC, "CFTC Enforcement Division Issues Prediction Markets Advisory," Release No. 9185-26 (Feb. 25, 2026), https://www.cftc.gov/PressRoom/PressReleases/9185-26.</w:t>
      </w:r>
    </w:p>
  </w:footnote>
  <w:footnote w:id="3">
    <w:p w14:paraId="3BB8194E" w14:textId="77777777" w:rsidR="00994004" w:rsidRDefault="008F7AE7">
      <w:pPr>
        <w:pStyle w:val="FootnoteText"/>
      </w:pPr>
      <w:r>
        <w:rPr>
          <w:rStyle w:val="FootnoteReference"/>
        </w:rPr>
        <w:footnoteRef/>
      </w:r>
      <w:r>
        <w:t xml:space="preserve"> Pew Research Center, "Trading Volume on Prediction Markets Has Soared in Recent Months" (May 27, 2026), https://www.pewresearch.org/short-reads/2026/05/27/trading-volume-on-prediction-markets-has-soared-in-recent-months/.</w:t>
      </w:r>
    </w:p>
  </w:footnote>
  <w:footnote w:id="4">
    <w:p w14:paraId="20AF97E9" w14:textId="77777777" w:rsidR="00994004" w:rsidRDefault="008F7AE7">
      <w:pPr>
        <w:pStyle w:val="FootnoteText"/>
      </w:pPr>
      <w:r>
        <w:rPr>
          <w:rStyle w:val="FootnoteReference"/>
        </w:rPr>
        <w:footnoteRef/>
      </w:r>
      <w:r>
        <w:t xml:space="preserve"> CFTC, "CFTC Exercises Emergency Authority to Ensure Market Stability," Release No. 9281-26 (Aug. 11, 2026), https://www.cftc.gov/PressRoom/PressReleases/9281-26.</w:t>
      </w:r>
    </w:p>
  </w:footnote>
  <w:footnote w:id="5">
    <w:p w14:paraId="0B637F91" w14:textId="77777777" w:rsidR="00994004" w:rsidRDefault="008F7AE7">
      <w:pPr>
        <w:pStyle w:val="FootnoteText"/>
      </w:pPr>
      <w:r>
        <w:rPr>
          <w:rStyle w:val="FootnoteReference"/>
        </w:rPr>
        <w:footnoteRef/>
      </w:r>
      <w:r>
        <w:t xml:space="preserve"> Yahoo Finance, "CFTC Steps </w:t>
      </w:r>
      <w:proofErr w:type="gramStart"/>
      <w:r>
        <w:t>In</w:t>
      </w:r>
      <w:proofErr w:type="gramEnd"/>
      <w:r>
        <w:t xml:space="preserve"> to Protect Kalshi as New York Pushes $36B Lawsuit," The Daily Wolf with Scott Melker (Aug. 2026), https://finance.yahoo.com/video/cftc-steps-protect-kalshi-york-220000718.html.</w:t>
      </w:r>
    </w:p>
  </w:footnote>
  <w:footnote w:id="6">
    <w:p w14:paraId="0321A0D1" w14:textId="77777777" w:rsidR="00994004" w:rsidRDefault="008F7AE7">
      <w:pPr>
        <w:pStyle w:val="FootnoteText"/>
      </w:pPr>
      <w:r>
        <w:rPr>
          <w:rStyle w:val="FootnoteReference"/>
        </w:rPr>
        <w:footnoteRef/>
      </w:r>
      <w:r>
        <w:t xml:space="preserve"> Congressional Research Service, "CFTC Issues Proposed Rule Regarding Prediction Markets," Legal Sidebar LSB11441, Library of Congress (June 2026), https://www.congress.gov/crs-product/LSB11441.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64674" w14:textId="77777777" w:rsidR="009805FC" w:rsidRDefault="009805FC">
    <w:pPr>
      <w:pStyle w:val="Header"/>
    </w:pPr>
    <w:r>
      <w:rPr>
        <w:noProof/>
      </w:rPr>
      <w:drawing>
        <wp:inline distT="0" distB="0" distL="0" distR="0" wp14:anchorId="1957E74E" wp14:editId="742895DB">
          <wp:extent cx="1870248" cy="566738"/>
          <wp:effectExtent l="0" t="0" r="0" b="5080"/>
          <wp:docPr id="426880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88079" name="Picture 42688079"/>
                  <pic:cNvPicPr/>
                </pic:nvPicPr>
                <pic:blipFill>
                  <a:blip r:embed="rId1">
                    <a:extLst>
                      <a:ext uri="{28A0092B-C50C-407E-A947-70E740481C1C}">
                        <a14:useLocalDpi xmlns:a14="http://schemas.microsoft.com/office/drawing/2010/main" val="0"/>
                      </a:ext>
                    </a:extLst>
                  </a:blip>
                  <a:stretch>
                    <a:fillRect/>
                  </a:stretch>
                </pic:blipFill>
                <pic:spPr>
                  <a:xfrm>
                    <a:off x="0" y="0"/>
                    <a:ext cx="2037987" cy="617568"/>
                  </a:xfrm>
                  <a:prstGeom prst="rect">
                    <a:avLst/>
                  </a:prstGeom>
                </pic:spPr>
              </pic:pic>
            </a:graphicData>
          </a:graphic>
        </wp:inline>
      </w:drawing>
    </w:r>
  </w:p>
  <w:p w14:paraId="3C699B85" w14:textId="77777777" w:rsidR="009805FC" w:rsidRDefault="009805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4F441D"/>
    <w:multiLevelType w:val="hybridMultilevel"/>
    <w:tmpl w:val="BA7C9D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801BCD"/>
    <w:multiLevelType w:val="hybridMultilevel"/>
    <w:tmpl w:val="827AF6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7D87B20"/>
    <w:multiLevelType w:val="hybridMultilevel"/>
    <w:tmpl w:val="67BE6D0A"/>
    <w:lvl w:ilvl="0" w:tplc="15F47BC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04457922">
    <w:abstractNumId w:val="0"/>
  </w:num>
  <w:num w:numId="2" w16cid:durableId="159546637">
    <w:abstractNumId w:val="1"/>
  </w:num>
  <w:num w:numId="3" w16cid:durableId="15293660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5FC"/>
    <w:rsid w:val="0000329A"/>
    <w:rsid w:val="00006719"/>
    <w:rsid w:val="000207A3"/>
    <w:rsid w:val="00023C3F"/>
    <w:rsid w:val="00027EE0"/>
    <w:rsid w:val="00040958"/>
    <w:rsid w:val="000455FB"/>
    <w:rsid w:val="000458C5"/>
    <w:rsid w:val="00050E96"/>
    <w:rsid w:val="00060013"/>
    <w:rsid w:val="00070A17"/>
    <w:rsid w:val="00095045"/>
    <w:rsid w:val="0009504B"/>
    <w:rsid w:val="000A27A4"/>
    <w:rsid w:val="000E1A77"/>
    <w:rsid w:val="000F030A"/>
    <w:rsid w:val="000F6741"/>
    <w:rsid w:val="0015184B"/>
    <w:rsid w:val="00152F5C"/>
    <w:rsid w:val="00163D50"/>
    <w:rsid w:val="00180158"/>
    <w:rsid w:val="001835CD"/>
    <w:rsid w:val="00196253"/>
    <w:rsid w:val="001D05F4"/>
    <w:rsid w:val="001D68D3"/>
    <w:rsid w:val="001F1996"/>
    <w:rsid w:val="001F2EFB"/>
    <w:rsid w:val="001F65D1"/>
    <w:rsid w:val="0026570C"/>
    <w:rsid w:val="00295DE3"/>
    <w:rsid w:val="002A4C2D"/>
    <w:rsid w:val="002A4DB9"/>
    <w:rsid w:val="002B4F00"/>
    <w:rsid w:val="002B6324"/>
    <w:rsid w:val="002C5725"/>
    <w:rsid w:val="002F0DA3"/>
    <w:rsid w:val="002F7115"/>
    <w:rsid w:val="00310B98"/>
    <w:rsid w:val="00323245"/>
    <w:rsid w:val="00340B4C"/>
    <w:rsid w:val="00341E91"/>
    <w:rsid w:val="003511E1"/>
    <w:rsid w:val="003704A4"/>
    <w:rsid w:val="00373AC8"/>
    <w:rsid w:val="00384527"/>
    <w:rsid w:val="003A73F0"/>
    <w:rsid w:val="003C2071"/>
    <w:rsid w:val="003C4640"/>
    <w:rsid w:val="003C7118"/>
    <w:rsid w:val="003F761C"/>
    <w:rsid w:val="004122A1"/>
    <w:rsid w:val="00430A74"/>
    <w:rsid w:val="00460CBC"/>
    <w:rsid w:val="004651AB"/>
    <w:rsid w:val="00472106"/>
    <w:rsid w:val="004A7651"/>
    <w:rsid w:val="004B2C39"/>
    <w:rsid w:val="004B3500"/>
    <w:rsid w:val="004C6E96"/>
    <w:rsid w:val="004D45C3"/>
    <w:rsid w:val="004E409A"/>
    <w:rsid w:val="00517753"/>
    <w:rsid w:val="00521501"/>
    <w:rsid w:val="00563D67"/>
    <w:rsid w:val="00564183"/>
    <w:rsid w:val="0057188B"/>
    <w:rsid w:val="005724FE"/>
    <w:rsid w:val="00581E7E"/>
    <w:rsid w:val="00583D45"/>
    <w:rsid w:val="00594C65"/>
    <w:rsid w:val="005A1ACC"/>
    <w:rsid w:val="005B20F1"/>
    <w:rsid w:val="005C3B82"/>
    <w:rsid w:val="005E2819"/>
    <w:rsid w:val="005E4893"/>
    <w:rsid w:val="00636C4E"/>
    <w:rsid w:val="00637670"/>
    <w:rsid w:val="006460E5"/>
    <w:rsid w:val="0065040D"/>
    <w:rsid w:val="00652EB2"/>
    <w:rsid w:val="0066758D"/>
    <w:rsid w:val="00684455"/>
    <w:rsid w:val="00694052"/>
    <w:rsid w:val="006E3025"/>
    <w:rsid w:val="00713E7C"/>
    <w:rsid w:val="00747F1D"/>
    <w:rsid w:val="00751F26"/>
    <w:rsid w:val="00760859"/>
    <w:rsid w:val="00765182"/>
    <w:rsid w:val="00767803"/>
    <w:rsid w:val="00786D99"/>
    <w:rsid w:val="007B3E63"/>
    <w:rsid w:val="007E42D1"/>
    <w:rsid w:val="007F19C2"/>
    <w:rsid w:val="00800A53"/>
    <w:rsid w:val="0080416E"/>
    <w:rsid w:val="00807A6B"/>
    <w:rsid w:val="008361F8"/>
    <w:rsid w:val="008636BD"/>
    <w:rsid w:val="0087765C"/>
    <w:rsid w:val="0088073E"/>
    <w:rsid w:val="0088454D"/>
    <w:rsid w:val="008936B2"/>
    <w:rsid w:val="008A2D88"/>
    <w:rsid w:val="008C2A3D"/>
    <w:rsid w:val="008E76BE"/>
    <w:rsid w:val="008F07BB"/>
    <w:rsid w:val="008F21A1"/>
    <w:rsid w:val="008F7AE7"/>
    <w:rsid w:val="0090772F"/>
    <w:rsid w:val="0092002F"/>
    <w:rsid w:val="00946E86"/>
    <w:rsid w:val="0095616D"/>
    <w:rsid w:val="00963494"/>
    <w:rsid w:val="00971C9D"/>
    <w:rsid w:val="009805FC"/>
    <w:rsid w:val="009868EB"/>
    <w:rsid w:val="00994004"/>
    <w:rsid w:val="009D06C0"/>
    <w:rsid w:val="009D5390"/>
    <w:rsid w:val="009D78C9"/>
    <w:rsid w:val="009E266A"/>
    <w:rsid w:val="009E2CCF"/>
    <w:rsid w:val="009F4D79"/>
    <w:rsid w:val="00A0283B"/>
    <w:rsid w:val="00A20B79"/>
    <w:rsid w:val="00A564C3"/>
    <w:rsid w:val="00A617AA"/>
    <w:rsid w:val="00A842EB"/>
    <w:rsid w:val="00AB2D3B"/>
    <w:rsid w:val="00AD1686"/>
    <w:rsid w:val="00AD2A8A"/>
    <w:rsid w:val="00AE5AD6"/>
    <w:rsid w:val="00B029E4"/>
    <w:rsid w:val="00B43C8E"/>
    <w:rsid w:val="00B51109"/>
    <w:rsid w:val="00B65BB7"/>
    <w:rsid w:val="00B759C2"/>
    <w:rsid w:val="00BC7323"/>
    <w:rsid w:val="00BE57CC"/>
    <w:rsid w:val="00C04784"/>
    <w:rsid w:val="00C12E4D"/>
    <w:rsid w:val="00C165BF"/>
    <w:rsid w:val="00C31F42"/>
    <w:rsid w:val="00C3317D"/>
    <w:rsid w:val="00C34D53"/>
    <w:rsid w:val="00C46DE4"/>
    <w:rsid w:val="00C477E6"/>
    <w:rsid w:val="00C53E49"/>
    <w:rsid w:val="00C552C8"/>
    <w:rsid w:val="00C55908"/>
    <w:rsid w:val="00C74899"/>
    <w:rsid w:val="00CA1A44"/>
    <w:rsid w:val="00CC06CC"/>
    <w:rsid w:val="00CF5DB9"/>
    <w:rsid w:val="00CF5F91"/>
    <w:rsid w:val="00CF7172"/>
    <w:rsid w:val="00D0571A"/>
    <w:rsid w:val="00D11C99"/>
    <w:rsid w:val="00D12AD4"/>
    <w:rsid w:val="00D175C0"/>
    <w:rsid w:val="00D334A7"/>
    <w:rsid w:val="00D51C9E"/>
    <w:rsid w:val="00D60229"/>
    <w:rsid w:val="00D6073D"/>
    <w:rsid w:val="00D6443E"/>
    <w:rsid w:val="00DA0B8B"/>
    <w:rsid w:val="00DA353D"/>
    <w:rsid w:val="00DB5889"/>
    <w:rsid w:val="00DC2E7F"/>
    <w:rsid w:val="00DC3D5F"/>
    <w:rsid w:val="00DD3DD7"/>
    <w:rsid w:val="00E13FBE"/>
    <w:rsid w:val="00E1750E"/>
    <w:rsid w:val="00E275A8"/>
    <w:rsid w:val="00E46DD7"/>
    <w:rsid w:val="00E67B15"/>
    <w:rsid w:val="00E81891"/>
    <w:rsid w:val="00E9129C"/>
    <w:rsid w:val="00E9422C"/>
    <w:rsid w:val="00E96578"/>
    <w:rsid w:val="00EC251C"/>
    <w:rsid w:val="00ED4215"/>
    <w:rsid w:val="00EE1A52"/>
    <w:rsid w:val="00EF5595"/>
    <w:rsid w:val="00F12EAB"/>
    <w:rsid w:val="00F130B4"/>
    <w:rsid w:val="00F414F6"/>
    <w:rsid w:val="00F641C7"/>
    <w:rsid w:val="00F64B3D"/>
    <w:rsid w:val="00F703F9"/>
    <w:rsid w:val="00F869A0"/>
    <w:rsid w:val="00F96568"/>
    <w:rsid w:val="00FB0FF2"/>
    <w:rsid w:val="00FB23C8"/>
    <w:rsid w:val="00FD344E"/>
    <w:rsid w:val="00FE1483"/>
    <w:rsid w:val="00FE7122"/>
    <w:rsid w:val="00FF2D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AE1ABE"/>
  <w15:chartTrackingRefBased/>
  <w15:docId w15:val="{598E8333-C79B-48DF-950D-C3FCFFB3A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05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05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05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05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05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05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05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05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05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05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05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05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05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05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05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05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05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05FC"/>
    <w:rPr>
      <w:rFonts w:eastAsiaTheme="majorEastAsia" w:cstheme="majorBidi"/>
      <w:color w:val="272727" w:themeColor="text1" w:themeTint="D8"/>
    </w:rPr>
  </w:style>
  <w:style w:type="paragraph" w:styleId="Title">
    <w:name w:val="Title"/>
    <w:basedOn w:val="Normal"/>
    <w:next w:val="Normal"/>
    <w:link w:val="TitleChar"/>
    <w:uiPriority w:val="10"/>
    <w:qFormat/>
    <w:rsid w:val="009805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05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05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05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05FC"/>
    <w:pPr>
      <w:spacing w:before="160"/>
      <w:jc w:val="center"/>
    </w:pPr>
    <w:rPr>
      <w:i/>
      <w:iCs/>
      <w:color w:val="404040" w:themeColor="text1" w:themeTint="BF"/>
    </w:rPr>
  </w:style>
  <w:style w:type="character" w:customStyle="1" w:styleId="QuoteChar">
    <w:name w:val="Quote Char"/>
    <w:basedOn w:val="DefaultParagraphFont"/>
    <w:link w:val="Quote"/>
    <w:uiPriority w:val="29"/>
    <w:rsid w:val="009805FC"/>
    <w:rPr>
      <w:i/>
      <w:iCs/>
      <w:color w:val="404040" w:themeColor="text1" w:themeTint="BF"/>
    </w:rPr>
  </w:style>
  <w:style w:type="paragraph" w:styleId="ListParagraph">
    <w:name w:val="List Paragraph"/>
    <w:basedOn w:val="Normal"/>
    <w:uiPriority w:val="34"/>
    <w:qFormat/>
    <w:rsid w:val="009805FC"/>
    <w:pPr>
      <w:ind w:left="720"/>
      <w:contextualSpacing/>
    </w:pPr>
  </w:style>
  <w:style w:type="character" w:styleId="IntenseEmphasis">
    <w:name w:val="Intense Emphasis"/>
    <w:basedOn w:val="DefaultParagraphFont"/>
    <w:uiPriority w:val="21"/>
    <w:qFormat/>
    <w:rsid w:val="009805FC"/>
    <w:rPr>
      <w:i/>
      <w:iCs/>
      <w:color w:val="0F4761" w:themeColor="accent1" w:themeShade="BF"/>
    </w:rPr>
  </w:style>
  <w:style w:type="paragraph" w:styleId="IntenseQuote">
    <w:name w:val="Intense Quote"/>
    <w:basedOn w:val="Normal"/>
    <w:next w:val="Normal"/>
    <w:link w:val="IntenseQuoteChar"/>
    <w:uiPriority w:val="30"/>
    <w:qFormat/>
    <w:rsid w:val="009805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05FC"/>
    <w:rPr>
      <w:i/>
      <w:iCs/>
      <w:color w:val="0F4761" w:themeColor="accent1" w:themeShade="BF"/>
    </w:rPr>
  </w:style>
  <w:style w:type="character" w:styleId="IntenseReference">
    <w:name w:val="Intense Reference"/>
    <w:basedOn w:val="DefaultParagraphFont"/>
    <w:uiPriority w:val="32"/>
    <w:qFormat/>
    <w:rsid w:val="009805FC"/>
    <w:rPr>
      <w:b/>
      <w:bCs/>
      <w:smallCaps/>
      <w:color w:val="0F4761" w:themeColor="accent1" w:themeShade="BF"/>
      <w:spacing w:val="5"/>
    </w:rPr>
  </w:style>
  <w:style w:type="paragraph" w:styleId="NoSpacing">
    <w:name w:val="No Spacing"/>
    <w:uiPriority w:val="1"/>
    <w:qFormat/>
    <w:rsid w:val="009805FC"/>
    <w:pPr>
      <w:spacing w:after="0" w:line="240" w:lineRule="auto"/>
    </w:pPr>
  </w:style>
  <w:style w:type="paragraph" w:styleId="Header">
    <w:name w:val="header"/>
    <w:basedOn w:val="Normal"/>
    <w:link w:val="HeaderChar"/>
    <w:uiPriority w:val="99"/>
    <w:unhideWhenUsed/>
    <w:rsid w:val="009805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05FC"/>
  </w:style>
  <w:style w:type="paragraph" w:styleId="Footer">
    <w:name w:val="footer"/>
    <w:basedOn w:val="Normal"/>
    <w:link w:val="FooterChar"/>
    <w:uiPriority w:val="99"/>
    <w:unhideWhenUsed/>
    <w:rsid w:val="009805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05FC"/>
  </w:style>
  <w:style w:type="paragraph" w:styleId="FootnoteText">
    <w:name w:val="footnote text"/>
    <w:basedOn w:val="Normal"/>
    <w:pPr>
      <w:spacing w:after="0" w:line="240" w:lineRule="auto"/>
    </w:pPr>
    <w:rPr>
      <w:sz w:val="18"/>
      <w:szCs w:val="18"/>
    </w:rPr>
  </w:style>
  <w:style w:type="character" w:styleId="FootnoteReference">
    <w:name w:val="footnote reference"/>
    <w:rPr>
      <w:vertAlign w:val="superscript"/>
    </w:rPr>
  </w:style>
  <w:style w:type="character" w:styleId="Hyperlink">
    <w:name w:val="Hyperlink"/>
    <w:basedOn w:val="DefaultParagraphFont"/>
    <w:uiPriority w:val="99"/>
    <w:unhideWhenUsed/>
    <w:rsid w:val="00684455"/>
    <w:rPr>
      <w:color w:val="467886" w:themeColor="hyperlink"/>
      <w:u w:val="single"/>
    </w:rPr>
  </w:style>
  <w:style w:type="character" w:styleId="UnresolvedMention">
    <w:name w:val="Unresolved Mention"/>
    <w:basedOn w:val="DefaultParagraphFont"/>
    <w:uiPriority w:val="99"/>
    <w:semiHidden/>
    <w:unhideWhenUsed/>
    <w:rsid w:val="006844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ftc.gov/PressRoom/PressReleases/9185-26"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ftc.gov/PressRoom/PressReleases/9249-26" TargetMode="External"/><Relationship Id="rId12" Type="http://schemas.openxmlformats.org/officeDocument/2006/relationships/hyperlink" Target="https://www.congress.gov/crs-product/LSB11441"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inance.yahoo.com/video/cftc-steps-protect-kalshi-york-220000718.htm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pewresearch.org/short-reads/2026/05/27/trading-volume-on-prediction-markets-has-soared-in-recent-months/" TargetMode="External"/><Relationship Id="rId4" Type="http://schemas.openxmlformats.org/officeDocument/2006/relationships/webSettings" Target="webSettings.xml"/><Relationship Id="rId9" Type="http://schemas.openxmlformats.org/officeDocument/2006/relationships/hyperlink" Target="https://www.cftc.gov/PressRoom/PressReleases/9281-26"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1361</Words>
  <Characters>7761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 Rivera</dc:creator>
  <cp:keywords/>
  <dc:description/>
  <cp:lastModifiedBy>Dennis Rivera</cp:lastModifiedBy>
  <cp:revision>2</cp:revision>
  <dcterms:created xsi:type="dcterms:W3CDTF">2026-08-28T00:17:00Z</dcterms:created>
  <dcterms:modified xsi:type="dcterms:W3CDTF">2026-08-28T00:17:00Z</dcterms:modified>
</cp:coreProperties>
</file>